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6F" w:rsidRDefault="00776D6F">
      <w:pPr>
        <w:jc w:val="center"/>
      </w:pPr>
      <w:bookmarkStart w:name="_GoBack" w:id="0"/>
      <w:bookmarkEnd w:id="0"/>
    </w:p>
    <w:p w:rsidRPr="002354E4" w:rsidR="00CD49A7" w:rsidRDefault="00CD49A7">
      <w:pPr>
        <w:jc w:val="center"/>
      </w:pPr>
    </w:p>
    <w:p w:rsidRPr="002354E4" w:rsidR="00CD49A7" w:rsidRDefault="002354E4">
      <w:pPr>
        <w:jc w:val="center"/>
      </w:pPr>
      <w:r w:rsidRPr="002354E4">
        <w:t>FOURTH SECTION</w:t>
      </w:r>
    </w:p>
    <w:p w:rsidR="00776D6F" w:rsidRDefault="00776D6F">
      <w:pPr>
        <w:jc w:val="center"/>
      </w:pPr>
    </w:p>
    <w:p w:rsidR="00CD49A7" w:rsidRDefault="00CD49A7">
      <w:pPr>
        <w:jc w:val="center"/>
      </w:pPr>
    </w:p>
    <w:p w:rsidR="009B3422" w:rsidRDefault="009B3422">
      <w:pPr>
        <w:jc w:val="center"/>
      </w:pPr>
    </w:p>
    <w:p w:rsidR="009B3422" w:rsidRDefault="009B3422">
      <w:pPr>
        <w:jc w:val="center"/>
      </w:pPr>
    </w:p>
    <w:p w:rsidRPr="002354E4" w:rsidR="009B3422" w:rsidRDefault="009B3422">
      <w:pPr>
        <w:jc w:val="center"/>
      </w:pPr>
    </w:p>
    <w:p w:rsidRPr="002354E4" w:rsidR="00CD49A7" w:rsidRDefault="00CD49A7">
      <w:pPr>
        <w:jc w:val="center"/>
        <w:rPr>
          <w:b/>
        </w:rPr>
      </w:pPr>
      <w:r w:rsidRPr="002354E4">
        <w:rPr>
          <w:b/>
        </w:rPr>
        <w:t xml:space="preserve">CASE OF </w:t>
      </w:r>
      <w:proofErr w:type="spellStart"/>
      <w:r w:rsidRPr="002354E4" w:rsidR="002354E4">
        <w:rPr>
          <w:b/>
        </w:rPr>
        <w:t>M</w:t>
      </w:r>
      <w:r w:rsidR="009C23E1">
        <w:rPr>
          <w:b/>
        </w:rPr>
        <w:t>c</w:t>
      </w:r>
      <w:r w:rsidRPr="002354E4" w:rsidR="002354E4">
        <w:rPr>
          <w:b/>
        </w:rPr>
        <w:t>CANN</w:t>
      </w:r>
      <w:proofErr w:type="spellEnd"/>
      <w:r w:rsidRPr="002354E4" w:rsidR="002354E4">
        <w:rPr>
          <w:b/>
        </w:rPr>
        <w:t xml:space="preserve"> v. THE </w:t>
      </w:r>
      <w:smartTag w:uri="urn:schemas-microsoft-com:office:smarttags" w:element="place">
        <w:smartTag w:uri="urn:schemas-microsoft-com:office:smarttags" w:element="country-region">
          <w:r w:rsidR="002354E4" w:rsidRPr="002354E4">
            <w:rPr>
              <w:b/>
            </w:rPr>
            <w:t>UNITED KINGDOM</w:t>
          </w:r>
        </w:smartTag>
      </w:smartTag>
    </w:p>
    <w:p w:rsidR="00CD49A7" w:rsidRDefault="00CD49A7">
      <w:pPr>
        <w:jc w:val="center"/>
      </w:pPr>
    </w:p>
    <w:p w:rsidRPr="002354E4" w:rsidR="00CD49A7" w:rsidRDefault="00CD49A7">
      <w:pPr>
        <w:jc w:val="center"/>
        <w:rPr>
          <w:i/>
        </w:rPr>
      </w:pPr>
      <w:r w:rsidRPr="002354E4">
        <w:rPr>
          <w:i/>
        </w:rPr>
        <w:t>(</w:t>
      </w:r>
      <w:r w:rsidRPr="002354E4" w:rsidR="002354E4">
        <w:rPr>
          <w:i/>
        </w:rPr>
        <w:t>Application no. 19009/04</w:t>
      </w:r>
      <w:r w:rsidRPr="002354E4">
        <w:rPr>
          <w:i/>
        </w:rPr>
        <w:t>)</w:t>
      </w:r>
    </w:p>
    <w:p w:rsidR="00776D6F" w:rsidP="00776D6F" w:rsidRDefault="00776D6F">
      <w:pPr>
        <w:jc w:val="center"/>
        <w:rPr>
          <w:sz w:val="22"/>
        </w:rPr>
      </w:pPr>
    </w:p>
    <w:p w:rsidR="009B3422" w:rsidP="00776D6F" w:rsidRDefault="009B3422">
      <w:pPr>
        <w:jc w:val="center"/>
        <w:rPr>
          <w:sz w:val="22"/>
        </w:rPr>
      </w:pPr>
    </w:p>
    <w:p w:rsidR="009B3422" w:rsidP="00776D6F" w:rsidRDefault="009B3422">
      <w:pPr>
        <w:jc w:val="center"/>
        <w:rPr>
          <w:sz w:val="22"/>
        </w:rPr>
      </w:pPr>
    </w:p>
    <w:p w:rsidR="0083439A" w:rsidP="00776D6F" w:rsidRDefault="0083439A">
      <w:pPr>
        <w:jc w:val="center"/>
        <w:rPr>
          <w:sz w:val="22"/>
        </w:rPr>
      </w:pPr>
    </w:p>
    <w:p w:rsidR="009B3422" w:rsidP="00776D6F" w:rsidRDefault="009B3422">
      <w:pPr>
        <w:jc w:val="center"/>
        <w:rPr>
          <w:sz w:val="22"/>
        </w:rPr>
      </w:pPr>
    </w:p>
    <w:p w:rsidR="009B3422" w:rsidP="00776D6F" w:rsidRDefault="009B3422">
      <w:pPr>
        <w:jc w:val="center"/>
        <w:rPr>
          <w:sz w:val="22"/>
        </w:rPr>
      </w:pPr>
    </w:p>
    <w:p w:rsidR="009B3422" w:rsidP="00776D6F" w:rsidRDefault="009B3422">
      <w:pPr>
        <w:jc w:val="center"/>
        <w:rPr>
          <w:sz w:val="22"/>
        </w:rPr>
      </w:pPr>
    </w:p>
    <w:p w:rsidR="00776D6F" w:rsidP="00776D6F" w:rsidRDefault="00776D6F">
      <w:pPr>
        <w:jc w:val="center"/>
        <w:rPr>
          <w:sz w:val="22"/>
        </w:rPr>
      </w:pPr>
      <w:r>
        <w:rPr>
          <w:sz w:val="22"/>
        </w:rPr>
        <w:t>JUDGMENT</w:t>
      </w:r>
    </w:p>
    <w:p w:rsidR="00670937" w:rsidP="00776D6F" w:rsidRDefault="00670937">
      <w:pPr>
        <w:jc w:val="center"/>
        <w:rPr>
          <w:sz w:val="22"/>
        </w:rPr>
      </w:pPr>
    </w:p>
    <w:p w:rsidRPr="009631CB" w:rsidR="00670937" w:rsidP="00670937" w:rsidRDefault="00670937">
      <w:pPr>
        <w:jc w:val="center"/>
        <w:rPr>
          <w:i/>
          <w:sz w:val="22"/>
        </w:rPr>
      </w:pPr>
      <w:r w:rsidRPr="009631CB">
        <w:rPr>
          <w:i/>
          <w:sz w:val="22"/>
        </w:rPr>
        <w:t>This version was rectified on 21 July 2009</w:t>
      </w:r>
    </w:p>
    <w:p w:rsidRPr="009631CB" w:rsidR="00670937" w:rsidP="00670937" w:rsidRDefault="00670937">
      <w:pPr>
        <w:jc w:val="center"/>
        <w:rPr>
          <w:i/>
          <w:sz w:val="22"/>
        </w:rPr>
      </w:pPr>
      <w:r w:rsidRPr="009631CB">
        <w:rPr>
          <w:i/>
          <w:sz w:val="22"/>
        </w:rPr>
        <w:t>under Rule 81 of the Rules of Court</w:t>
      </w:r>
    </w:p>
    <w:p w:rsidR="00776D6F" w:rsidP="00776D6F" w:rsidRDefault="00776D6F">
      <w:pPr>
        <w:jc w:val="center"/>
        <w:rPr>
          <w:sz w:val="22"/>
        </w:rPr>
      </w:pPr>
    </w:p>
    <w:p w:rsidR="00C12567" w:rsidP="00776D6F" w:rsidRDefault="00C12567">
      <w:pPr>
        <w:jc w:val="center"/>
        <w:rPr>
          <w:sz w:val="22"/>
        </w:rPr>
      </w:pPr>
    </w:p>
    <w:p w:rsidR="00776D6F" w:rsidP="00776D6F" w:rsidRDefault="00776D6F">
      <w:pPr>
        <w:jc w:val="center"/>
        <w:rPr>
          <w:sz w:val="22"/>
        </w:rPr>
      </w:pPr>
      <w:smartTag w:uri="urn:schemas-microsoft-com:office:smarttags" w:element="place">
        <w:smartTag w:uri="urn:schemas-microsoft-com:office:smarttags" w:element="City">
          <w:r>
            <w:rPr>
              <w:sz w:val="22"/>
            </w:rPr>
            <w:t>STRASBOURG</w:t>
          </w:r>
        </w:smartTag>
      </w:smartTag>
    </w:p>
    <w:p w:rsidR="00776D6F" w:rsidP="00776D6F" w:rsidRDefault="00776D6F">
      <w:pPr>
        <w:jc w:val="center"/>
        <w:rPr>
          <w:sz w:val="22"/>
        </w:rPr>
      </w:pPr>
    </w:p>
    <w:p w:rsidR="00776D6F" w:rsidP="00776D6F" w:rsidRDefault="00776D6F">
      <w:pPr>
        <w:jc w:val="center"/>
        <w:rPr>
          <w:sz w:val="22"/>
        </w:rPr>
      </w:pPr>
      <w:r>
        <w:rPr>
          <w:sz w:val="22"/>
        </w:rPr>
        <w:t>13 May 2008</w:t>
      </w:r>
    </w:p>
    <w:p w:rsidR="00776D6F" w:rsidP="00776D6F" w:rsidRDefault="00776D6F">
      <w:pPr>
        <w:jc w:val="center"/>
        <w:rPr>
          <w:sz w:val="22"/>
        </w:rPr>
      </w:pPr>
    </w:p>
    <w:p w:rsidR="0083439A" w:rsidP="00776D6F" w:rsidRDefault="0083439A">
      <w:pPr>
        <w:jc w:val="center"/>
        <w:rPr>
          <w:sz w:val="22"/>
        </w:rPr>
      </w:pPr>
    </w:p>
    <w:p w:rsidRPr="0083439A" w:rsidR="0083439A" w:rsidP="0083439A" w:rsidRDefault="0083439A">
      <w:pPr>
        <w:suppressAutoHyphens w:val="0"/>
        <w:autoSpaceDE w:val="0"/>
        <w:autoSpaceDN w:val="0"/>
        <w:adjustRightInd w:val="0"/>
        <w:jc w:val="center"/>
        <w:rPr>
          <w:b/>
          <w:bCs/>
          <w:color w:val="FF0000"/>
          <w:sz w:val="36"/>
          <w:szCs w:val="36"/>
          <w:u w:val="single"/>
          <w:lang w:val="en-US" w:eastAsia="en-US"/>
        </w:rPr>
      </w:pPr>
      <w:r w:rsidRPr="0083439A">
        <w:rPr>
          <w:b/>
          <w:bCs/>
          <w:color w:val="FF0000"/>
          <w:sz w:val="36"/>
          <w:szCs w:val="36"/>
          <w:u w:val="single"/>
          <w:lang w:val="en-US" w:eastAsia="en-US"/>
        </w:rPr>
        <w:t>FINAL</w:t>
      </w:r>
    </w:p>
    <w:p w:rsidRPr="0083439A" w:rsidR="0083439A" w:rsidP="0083439A" w:rsidRDefault="0083439A">
      <w:pPr>
        <w:suppressAutoHyphens w:val="0"/>
        <w:autoSpaceDE w:val="0"/>
        <w:autoSpaceDN w:val="0"/>
        <w:adjustRightInd w:val="0"/>
        <w:jc w:val="center"/>
        <w:rPr>
          <w:b/>
          <w:bCs/>
          <w:color w:val="FF0000"/>
          <w:sz w:val="36"/>
          <w:szCs w:val="36"/>
          <w:u w:val="single"/>
          <w:lang w:val="en-US" w:eastAsia="en-US"/>
        </w:rPr>
      </w:pPr>
    </w:p>
    <w:p w:rsidRPr="0083439A" w:rsidR="0083439A" w:rsidP="0083439A" w:rsidRDefault="0083439A">
      <w:pPr>
        <w:suppressAutoHyphens w:val="0"/>
        <w:autoSpaceDE w:val="0"/>
        <w:autoSpaceDN w:val="0"/>
        <w:adjustRightInd w:val="0"/>
        <w:jc w:val="center"/>
        <w:rPr>
          <w:b/>
          <w:bCs/>
          <w:color w:val="FF0000"/>
          <w:sz w:val="36"/>
          <w:szCs w:val="36"/>
          <w:u w:val="single"/>
          <w:lang w:val="en-US" w:eastAsia="en-US"/>
        </w:rPr>
      </w:pPr>
    </w:p>
    <w:p w:rsidR="0083439A" w:rsidP="0083439A" w:rsidRDefault="0083439A">
      <w:pPr>
        <w:jc w:val="center"/>
        <w:rPr>
          <w:sz w:val="22"/>
        </w:rPr>
      </w:pPr>
      <w:r w:rsidRPr="0083439A">
        <w:rPr>
          <w:i/>
          <w:iCs/>
          <w:color w:val="FF0000"/>
          <w:sz w:val="36"/>
          <w:szCs w:val="36"/>
          <w:lang w:val="en-US" w:eastAsia="en-US"/>
        </w:rPr>
        <w:t>13/08/2008</w:t>
      </w:r>
    </w:p>
    <w:p w:rsidR="00C6502E" w:rsidP="00554720" w:rsidRDefault="00C6502E">
      <w:pPr>
        <w:jc w:val="center"/>
        <w:rPr>
          <w:color w:val="FF0000"/>
        </w:rPr>
      </w:pPr>
    </w:p>
    <w:p w:rsidRPr="00523C94" w:rsidR="00776D6F" w:rsidP="00523C94" w:rsidRDefault="00776D6F">
      <w:pPr>
        <w:jc w:val="center"/>
        <w:rPr>
          <w:b/>
          <w:color w:val="FF0000"/>
          <w:sz w:val="36"/>
          <w:u w:val="single"/>
        </w:rPr>
        <w:sectPr w:rsidRPr="00523C94" w:rsidR="00776D6F" w:rsidSect="00776D6F">
          <w:headerReference w:type="default" r:id="rId7"/>
          <w:footnotePr>
            <w:numRestart w:val="eachPage"/>
          </w:footnotePr>
          <w:pgSz w:w="11906" w:h="16838" w:code="9"/>
          <w:pgMar w:top="2274" w:right="2274" w:bottom="2274" w:left="2274" w:header="1701" w:footer="720" w:gutter="0"/>
          <w:pgNumType w:start="1"/>
          <w:cols w:space="720"/>
          <w:docGrid w:linePitch="78"/>
        </w:sectPr>
      </w:pPr>
      <w:bookmarkStart w:name="OLE_LINK1" w:id="1"/>
      <w:bookmarkStart w:name="OLE_LINK2" w:id="2"/>
      <w:bookmarkEnd w:id="1"/>
      <w:bookmarkEnd w:id="2"/>
    </w:p>
    <w:p w:rsidRPr="002354E4" w:rsidR="00CD49A7" w:rsidRDefault="00CD49A7">
      <w:pPr>
        <w:pStyle w:val="JuCase"/>
      </w:pPr>
      <w:r w:rsidRPr="002354E4">
        <w:t xml:space="preserve">In the case of </w:t>
      </w:r>
      <w:r w:rsidRPr="002354E4" w:rsidR="002354E4">
        <w:t xml:space="preserve">McCann v. the </w:t>
      </w:r>
      <w:smartTag w:uri="urn:schemas-microsoft-com:office:smarttags" w:element="place">
        <w:smartTag w:uri="urn:schemas-microsoft-com:office:smarttags" w:element="country-region">
          <w:r w:rsidR="002354E4" w:rsidRPr="002354E4">
            <w:t>United Kingdom</w:t>
          </w:r>
        </w:smartTag>
      </w:smartTag>
      <w:r w:rsidRPr="002354E4">
        <w:t>,</w:t>
      </w:r>
    </w:p>
    <w:p w:rsidRPr="002354E4" w:rsidR="005803E1" w:rsidP="005803E1" w:rsidRDefault="00CD49A7">
      <w:pPr>
        <w:pStyle w:val="JuPara"/>
      </w:pPr>
      <w:r w:rsidRPr="002354E4">
        <w:t>The European Court of Human Rights</w:t>
      </w:r>
      <w:r w:rsidRPr="002354E4" w:rsidR="002354E4">
        <w:t xml:space="preserve"> (Fourth Section)</w:t>
      </w:r>
      <w:r w:rsidRPr="002354E4">
        <w:t xml:space="preserve">, sitting as a </w:t>
      </w:r>
      <w:r w:rsidRPr="002354E4" w:rsidR="002354E4">
        <w:t>Chamber</w:t>
      </w:r>
      <w:r w:rsidRPr="002354E4">
        <w:t xml:space="preserve"> </w:t>
      </w:r>
      <w:r w:rsidRPr="002354E4" w:rsidR="005803E1">
        <w:t>composed of:</w:t>
      </w:r>
    </w:p>
    <w:p w:rsidR="00045AFB" w:rsidP="00045AFB" w:rsidRDefault="00045AFB">
      <w:pPr>
        <w:pStyle w:val="JuJudges"/>
        <w:rPr>
          <w:rStyle w:val="JuJudgesChar"/>
          <w:i/>
        </w:rPr>
      </w:pPr>
      <w:r w:rsidRPr="001B44E7">
        <w:rPr>
          <w:rStyle w:val="JuJudgesChar"/>
        </w:rPr>
        <w:tab/>
      </w:r>
      <w:smartTag w:uri="urn:schemas-microsoft-com:office:smarttags" w:element="place">
        <w:r w:rsidRPr="001B44E7">
          <w:rPr>
            <w:rStyle w:val="JuJudgesChar"/>
          </w:rPr>
          <w:t>Lech</w:t>
        </w:r>
      </w:smartTag>
      <w:r>
        <w:rPr>
          <w:rStyle w:val="JuJudgesChar"/>
        </w:rPr>
        <w:t xml:space="preserve"> </w:t>
      </w:r>
      <w:proofErr w:type="spellStart"/>
      <w:r w:rsidRPr="001B44E7">
        <w:rPr>
          <w:rStyle w:val="JuJudgesChar"/>
        </w:rPr>
        <w:t>Garlicki</w:t>
      </w:r>
      <w:proofErr w:type="spellEnd"/>
      <w:r>
        <w:rPr>
          <w:rStyle w:val="JuJudgesChar"/>
        </w:rPr>
        <w:t>,</w:t>
      </w:r>
      <w:r w:rsidRPr="001B44E7">
        <w:rPr>
          <w:rStyle w:val="JuJudgesChar"/>
          <w:i/>
        </w:rPr>
        <w:t xml:space="preserve"> President</w:t>
      </w:r>
      <w:r w:rsidRPr="009B3422">
        <w:rPr>
          <w:rStyle w:val="JuJudgesChar"/>
        </w:rPr>
        <w:t>,</w:t>
      </w:r>
      <w:r>
        <w:rPr>
          <w:rStyle w:val="JuJudgesChar"/>
          <w:i/>
        </w:rPr>
        <w:br/>
      </w:r>
      <w:r w:rsidRPr="001B44E7">
        <w:rPr>
          <w:rStyle w:val="JuJudgesChar"/>
        </w:rPr>
        <w:tab/>
        <w:t>Nicolas</w:t>
      </w:r>
      <w:r>
        <w:rPr>
          <w:rStyle w:val="JuJudgesChar"/>
        </w:rPr>
        <w:t xml:space="preserve"> </w:t>
      </w:r>
      <w:proofErr w:type="spellStart"/>
      <w:r w:rsidRPr="001B44E7">
        <w:rPr>
          <w:rStyle w:val="JuJudgesChar"/>
        </w:rPr>
        <w:t>Bratza</w:t>
      </w:r>
      <w:proofErr w:type="spellEnd"/>
      <w:r>
        <w:rPr>
          <w:rStyle w:val="JuJudgesChar"/>
        </w:rPr>
        <w:t>,</w:t>
      </w:r>
      <w:r w:rsidR="00DA7880">
        <w:rPr>
          <w:rStyle w:val="JuJudgesChar"/>
        </w:rPr>
        <w:br/>
      </w:r>
      <w:r w:rsidRPr="001B44E7">
        <w:rPr>
          <w:rStyle w:val="JuJudgesChar"/>
        </w:rPr>
        <w:tab/>
        <w:t>Giovanni</w:t>
      </w:r>
      <w:r>
        <w:rPr>
          <w:rStyle w:val="JuJudgesChar"/>
        </w:rPr>
        <w:t xml:space="preserve"> </w:t>
      </w:r>
      <w:proofErr w:type="spellStart"/>
      <w:r w:rsidRPr="001B44E7">
        <w:rPr>
          <w:rStyle w:val="JuJudgesChar"/>
        </w:rPr>
        <w:t>Bonello</w:t>
      </w:r>
      <w:proofErr w:type="spellEnd"/>
      <w:r>
        <w:rPr>
          <w:rStyle w:val="JuJudgesChar"/>
        </w:rPr>
        <w:t>,</w:t>
      </w:r>
      <w:r w:rsidR="00DA7880">
        <w:rPr>
          <w:rStyle w:val="JuJudgesChar"/>
        </w:rPr>
        <w:br/>
      </w:r>
      <w:r>
        <w:rPr>
          <w:rStyle w:val="JuJudgesChar"/>
          <w:i/>
        </w:rPr>
        <w:tab/>
      </w:r>
      <w:proofErr w:type="spellStart"/>
      <w:r>
        <w:rPr>
          <w:rStyle w:val="JuJudgesChar"/>
        </w:rPr>
        <w:t>L</w:t>
      </w:r>
      <w:r w:rsidRPr="001B44E7">
        <w:rPr>
          <w:rStyle w:val="JuJudgesChar"/>
        </w:rPr>
        <w:t>jiljana</w:t>
      </w:r>
      <w:proofErr w:type="spellEnd"/>
      <w:r>
        <w:rPr>
          <w:rStyle w:val="JuJudgesChar"/>
        </w:rPr>
        <w:t xml:space="preserve"> </w:t>
      </w:r>
      <w:proofErr w:type="spellStart"/>
      <w:r w:rsidRPr="001B44E7">
        <w:rPr>
          <w:rStyle w:val="JuJudgesChar"/>
        </w:rPr>
        <w:t>Mijović</w:t>
      </w:r>
      <w:proofErr w:type="spellEnd"/>
      <w:r>
        <w:rPr>
          <w:rStyle w:val="JuJudgesChar"/>
        </w:rPr>
        <w:t>,</w:t>
      </w:r>
      <w:r>
        <w:rPr>
          <w:rStyle w:val="JuJudgesChar"/>
          <w:i/>
        </w:rPr>
        <w:br/>
      </w:r>
      <w:r w:rsidRPr="001B44E7">
        <w:rPr>
          <w:rStyle w:val="JuJudgesChar"/>
        </w:rPr>
        <w:tab/>
      </w:r>
      <w:proofErr w:type="spellStart"/>
      <w:r w:rsidRPr="001B44E7">
        <w:rPr>
          <w:rStyle w:val="JuJudgesChar"/>
        </w:rPr>
        <w:t>Dav</w:t>
      </w:r>
      <w:r w:rsidR="003E572F">
        <w:rPr>
          <w:rStyle w:val="JuJudgesChar"/>
        </w:rPr>
        <w:t>í</w:t>
      </w:r>
      <w:r w:rsidRPr="001B44E7">
        <w:rPr>
          <w:rStyle w:val="JuJudgesChar"/>
        </w:rPr>
        <w:t>d</w:t>
      </w:r>
      <w:proofErr w:type="spellEnd"/>
      <w:r w:rsidRPr="001B44E7">
        <w:rPr>
          <w:rStyle w:val="JuJudgesChar"/>
        </w:rPr>
        <w:t xml:space="preserve"> </w:t>
      </w:r>
      <w:proofErr w:type="spellStart"/>
      <w:r w:rsidRPr="001B44E7">
        <w:rPr>
          <w:rStyle w:val="JuJudgesChar"/>
        </w:rPr>
        <w:t>Thór</w:t>
      </w:r>
      <w:proofErr w:type="spellEnd"/>
      <w:r>
        <w:rPr>
          <w:rStyle w:val="JuJudgesChar"/>
        </w:rPr>
        <w:t xml:space="preserve"> </w:t>
      </w:r>
      <w:proofErr w:type="spellStart"/>
      <w:r w:rsidRPr="001B44E7">
        <w:rPr>
          <w:rStyle w:val="JuJudgesChar"/>
        </w:rPr>
        <w:t>Björgvinsson</w:t>
      </w:r>
      <w:proofErr w:type="spellEnd"/>
      <w:r>
        <w:rPr>
          <w:rStyle w:val="JuJudgesChar"/>
        </w:rPr>
        <w:t>,</w:t>
      </w:r>
      <w:r>
        <w:rPr>
          <w:rStyle w:val="JuJudgesChar"/>
          <w:i/>
        </w:rPr>
        <w:br/>
      </w:r>
      <w:r w:rsidRPr="001B44E7">
        <w:rPr>
          <w:rStyle w:val="JuJudgesChar"/>
        </w:rPr>
        <w:tab/>
      </w:r>
      <w:proofErr w:type="spellStart"/>
      <w:r w:rsidRPr="001B44E7">
        <w:rPr>
          <w:rStyle w:val="JuJudgesChar"/>
        </w:rPr>
        <w:t>Ján</w:t>
      </w:r>
      <w:proofErr w:type="spellEnd"/>
      <w:r>
        <w:rPr>
          <w:rStyle w:val="JuJudgesChar"/>
        </w:rPr>
        <w:t xml:space="preserve"> </w:t>
      </w:r>
      <w:proofErr w:type="spellStart"/>
      <w:r w:rsidRPr="001B44E7">
        <w:rPr>
          <w:rStyle w:val="JuJudgesChar"/>
        </w:rPr>
        <w:t>Šikuta</w:t>
      </w:r>
      <w:proofErr w:type="spellEnd"/>
      <w:r>
        <w:rPr>
          <w:rStyle w:val="JuJudgesChar"/>
        </w:rPr>
        <w:t>,</w:t>
      </w:r>
      <w:r>
        <w:rPr>
          <w:rStyle w:val="JuJudgesChar"/>
          <w:i/>
        </w:rPr>
        <w:br/>
      </w:r>
      <w:r w:rsidRPr="001B44E7">
        <w:rPr>
          <w:rStyle w:val="JuJudgesChar"/>
        </w:rPr>
        <w:tab/>
      </w:r>
      <w:proofErr w:type="spellStart"/>
      <w:r w:rsidRPr="001B44E7">
        <w:rPr>
          <w:rStyle w:val="JuJudgesChar"/>
        </w:rPr>
        <w:t>Päivi</w:t>
      </w:r>
      <w:proofErr w:type="spellEnd"/>
      <w:r>
        <w:rPr>
          <w:rStyle w:val="JuJudgesChar"/>
        </w:rPr>
        <w:t xml:space="preserve"> </w:t>
      </w:r>
      <w:proofErr w:type="spellStart"/>
      <w:r w:rsidRPr="001B44E7">
        <w:rPr>
          <w:rStyle w:val="JuJudgesChar"/>
        </w:rPr>
        <w:t>Hirvelä</w:t>
      </w:r>
      <w:proofErr w:type="spellEnd"/>
      <w:r>
        <w:rPr>
          <w:rStyle w:val="JuJudgesChar"/>
        </w:rPr>
        <w:t>,</w:t>
      </w:r>
      <w:r w:rsidRPr="001B44E7">
        <w:rPr>
          <w:rStyle w:val="JuJudgesChar"/>
          <w:i/>
        </w:rPr>
        <w:t xml:space="preserve"> </w:t>
      </w:r>
      <w:r>
        <w:rPr>
          <w:rStyle w:val="JuJudgesChar"/>
          <w:i/>
        </w:rPr>
        <w:t>judges</w:t>
      </w:r>
      <w:r w:rsidRPr="009B3422" w:rsidR="002B4412">
        <w:rPr>
          <w:rStyle w:val="JuJudgesChar"/>
        </w:rPr>
        <w:t>,</w:t>
      </w:r>
    </w:p>
    <w:p w:rsidRPr="002354E4" w:rsidR="00CD49A7" w:rsidP="005803E1" w:rsidRDefault="00CD49A7">
      <w:pPr>
        <w:pStyle w:val="JuJudges"/>
      </w:pPr>
      <w:r w:rsidRPr="002354E4">
        <w:t xml:space="preserve">and </w:t>
      </w:r>
      <w:r w:rsidR="002006BF">
        <w:t>Lawrence Early</w:t>
      </w:r>
      <w:r w:rsidRPr="002354E4">
        <w:t xml:space="preserve">, </w:t>
      </w:r>
      <w:r w:rsidRPr="002354E4" w:rsidR="002354E4">
        <w:rPr>
          <w:i/>
        </w:rPr>
        <w:t>Section Registrar</w:t>
      </w:r>
      <w:r w:rsidRPr="002354E4">
        <w:t>,</w:t>
      </w:r>
    </w:p>
    <w:p w:rsidRPr="002354E4" w:rsidR="00CD49A7" w:rsidRDefault="00CD49A7">
      <w:pPr>
        <w:pStyle w:val="JuPara"/>
      </w:pPr>
      <w:r w:rsidRPr="002354E4">
        <w:t xml:space="preserve">Having deliberated in private on </w:t>
      </w:r>
      <w:r w:rsidR="00776D6F">
        <w:t>22 April 2008</w:t>
      </w:r>
      <w:r w:rsidRPr="002354E4">
        <w:t>,</w:t>
      </w:r>
    </w:p>
    <w:p w:rsidRPr="002354E4" w:rsidR="00CD49A7" w:rsidRDefault="00CD49A7">
      <w:pPr>
        <w:pStyle w:val="JuPara"/>
      </w:pPr>
      <w:r w:rsidRPr="002354E4">
        <w:t>Delivers the following judgment, which was adopted on th</w:t>
      </w:r>
      <w:r w:rsidRPr="00570D69" w:rsidR="00570D69">
        <w:t>at</w:t>
      </w:r>
      <w:r w:rsidRPr="002354E4">
        <w:t xml:space="preserve"> date:</w:t>
      </w:r>
    </w:p>
    <w:p w:rsidRPr="002354E4" w:rsidR="00CD49A7" w:rsidRDefault="00CD49A7">
      <w:pPr>
        <w:pStyle w:val="JuHHead"/>
      </w:pPr>
      <w:r w:rsidRPr="002354E4">
        <w:t>PROCEDURE</w:t>
      </w:r>
    </w:p>
    <w:p w:rsidR="00F737E3" w:rsidP="00085109" w:rsidRDefault="002354E4">
      <w:pPr>
        <w:pStyle w:val="JuPara"/>
      </w:pPr>
      <w:r w:rsidRPr="002354E4">
        <w:fldChar w:fldCharType="begin"/>
      </w:r>
      <w:r w:rsidRPr="002354E4">
        <w:instrText xml:space="preserve"> SEQ level0 \*arabic </w:instrText>
      </w:r>
      <w:r w:rsidRPr="002354E4">
        <w:fldChar w:fldCharType="separate"/>
      </w:r>
      <w:r w:rsidR="005F2AA6">
        <w:rPr>
          <w:noProof/>
        </w:rPr>
        <w:t>1</w:t>
      </w:r>
      <w:r w:rsidRPr="002354E4">
        <w:fldChar w:fldCharType="end"/>
      </w:r>
      <w:r w:rsidRPr="002354E4" w:rsidR="00CD49A7">
        <w:t xml:space="preserve">.  The case originated in </w:t>
      </w:r>
      <w:r w:rsidRPr="002354E4">
        <w:t>an application (no. 19009/04)</w:t>
      </w:r>
      <w:r w:rsidRPr="002354E4" w:rsidR="00CD49A7">
        <w:t xml:space="preserve"> against </w:t>
      </w:r>
      <w:r w:rsidRPr="002354E4">
        <w:t>the United Kingdom of Great Britain and Northern Ireland</w:t>
      </w:r>
      <w:r w:rsidRPr="002354E4" w:rsidR="00CD49A7">
        <w:t xml:space="preserve"> lodged with the </w:t>
      </w:r>
      <w:r w:rsidRPr="002354E4">
        <w:t>Court under Article 34</w:t>
      </w:r>
      <w:r w:rsidRPr="002354E4" w:rsidR="00CD49A7">
        <w:t xml:space="preserve"> of the Convention for the Protection of Human Rights and Fundamental Freedoms (“the Convention”) by </w:t>
      </w:r>
      <w:r w:rsidR="001B64DF">
        <w:t xml:space="preserve">a </w:t>
      </w:r>
      <w:r w:rsidRPr="002354E4">
        <w:t xml:space="preserve">British national, Mr </w:t>
      </w:r>
      <w:proofErr w:type="spellStart"/>
      <w:r w:rsidRPr="002354E4">
        <w:t>Gerrard</w:t>
      </w:r>
      <w:proofErr w:type="spellEnd"/>
      <w:r w:rsidRPr="002354E4">
        <w:t xml:space="preserve"> McCann (“the applicant”), on 20 May 2004</w:t>
      </w:r>
      <w:r w:rsidRPr="002354E4" w:rsidR="00CD49A7">
        <w:t>.</w:t>
      </w:r>
    </w:p>
    <w:p w:rsidR="00EA5B63" w:rsidRDefault="002354E4">
      <w:pPr>
        <w:pStyle w:val="JuPara"/>
      </w:pPr>
      <w:r w:rsidRPr="002354E4">
        <w:fldChar w:fldCharType="begin"/>
      </w:r>
      <w:r w:rsidRPr="002354E4">
        <w:instrText xml:space="preserve"> SEQ level0 \*arabic </w:instrText>
      </w:r>
      <w:r w:rsidRPr="002354E4">
        <w:fldChar w:fldCharType="separate"/>
      </w:r>
      <w:r w:rsidR="005F2AA6">
        <w:rPr>
          <w:noProof/>
        </w:rPr>
        <w:t>2</w:t>
      </w:r>
      <w:r w:rsidRPr="002354E4">
        <w:fldChar w:fldCharType="end"/>
      </w:r>
      <w:r w:rsidRPr="002354E4" w:rsidR="00CD49A7">
        <w:t>.  </w:t>
      </w:r>
      <w:r w:rsidRPr="002354E4">
        <w:t>The applicant, who had been granted legal aid, was represented by Mr</w:t>
      </w:r>
      <w:r w:rsidR="00776D6F">
        <w:t> </w:t>
      </w:r>
      <w:proofErr w:type="spellStart"/>
      <w:r w:rsidRPr="002354E4">
        <w:t>Gurbinder</w:t>
      </w:r>
      <w:proofErr w:type="spellEnd"/>
      <w:r w:rsidR="001B64DF">
        <w:t xml:space="preserve"> Gill</w:t>
      </w:r>
      <w:r w:rsidRPr="002354E4">
        <w:t xml:space="preserve">, a lawyer practising in </w:t>
      </w:r>
      <w:smartTag w:uri="urn:schemas-microsoft-com:office:smarttags" w:element="place">
        <w:r w:rsidRPr="002354E4">
          <w:t>Solihull</w:t>
        </w:r>
      </w:smartTag>
      <w:r w:rsidR="00720320">
        <w:t>.</w:t>
      </w:r>
    </w:p>
    <w:p w:rsidR="00DF2DD7" w:rsidRDefault="002354E4">
      <w:pPr>
        <w:pStyle w:val="JuPara"/>
      </w:pPr>
      <w:r w:rsidRPr="002354E4">
        <w:fldChar w:fldCharType="begin"/>
      </w:r>
      <w:r w:rsidRPr="002354E4">
        <w:instrText xml:space="preserve"> SEQ level0 \*arabic </w:instrText>
      </w:r>
      <w:r w:rsidRPr="002354E4">
        <w:fldChar w:fldCharType="separate"/>
      </w:r>
      <w:r w:rsidR="005F2AA6">
        <w:rPr>
          <w:noProof/>
        </w:rPr>
        <w:t>3</w:t>
      </w:r>
      <w:r w:rsidRPr="002354E4">
        <w:fldChar w:fldCharType="end"/>
      </w:r>
      <w:r w:rsidRPr="002354E4" w:rsidR="00CD49A7">
        <w:t xml:space="preserve">.  The </w:t>
      </w:r>
      <w:r w:rsidRPr="002354E4">
        <w:t>applicant</w:t>
      </w:r>
      <w:r w:rsidRPr="002354E4" w:rsidR="00CD49A7">
        <w:t xml:space="preserve"> </w:t>
      </w:r>
      <w:r w:rsidR="00EA5B63">
        <w:t xml:space="preserve">complained </w:t>
      </w:r>
      <w:r w:rsidR="00DF2DD7">
        <w:t xml:space="preserve">that </w:t>
      </w:r>
      <w:r w:rsidR="006456A4">
        <w:t>eviction</w:t>
      </w:r>
      <w:r w:rsidR="001C28BE">
        <w:t xml:space="preserve"> proceedings brought against him by the local authority violated </w:t>
      </w:r>
      <w:r w:rsidR="00DF2DD7">
        <w:t>Articles 6, 8 and 14 of the Convention.</w:t>
      </w:r>
    </w:p>
    <w:p w:rsidR="006456A4" w:rsidRDefault="001C28BE">
      <w:pPr>
        <w:pStyle w:val="JuPara"/>
      </w:pPr>
      <w:r>
        <w:fldChar w:fldCharType="begin"/>
      </w:r>
      <w:r>
        <w:instrText xml:space="preserve"> SEQ level0 \*arabic </w:instrText>
      </w:r>
      <w:r>
        <w:fldChar w:fldCharType="separate"/>
      </w:r>
      <w:r w:rsidR="005F2AA6">
        <w:rPr>
          <w:noProof/>
        </w:rPr>
        <w:t>4</w:t>
      </w:r>
      <w:r>
        <w:fldChar w:fldCharType="end"/>
      </w:r>
      <w:r>
        <w:t>.  The application was allocated to the Fo</w:t>
      </w:r>
      <w:r w:rsidR="00A6207C">
        <w:t>urth Section of the Court (Rule</w:t>
      </w:r>
      <w:r w:rsidR="00821004">
        <w:t> </w:t>
      </w:r>
      <w:r>
        <w:t>52 § 1 of the Rules of Court). Within that Section, the Chamber that would consider the case (Article 27 § 1 of the Convention) was constituted as provided in Rule 26 § 1.</w:t>
      </w:r>
    </w:p>
    <w:p w:rsidRPr="002354E4" w:rsidR="00CD49A7" w:rsidRDefault="006456A4">
      <w:pPr>
        <w:pStyle w:val="JuPara"/>
      </w:pPr>
      <w:r>
        <w:fldChar w:fldCharType="begin"/>
      </w:r>
      <w:r>
        <w:instrText xml:space="preserve"> SEQ level0 \*arabic </w:instrText>
      </w:r>
      <w:r>
        <w:fldChar w:fldCharType="separate"/>
      </w:r>
      <w:r w:rsidR="005F2AA6">
        <w:rPr>
          <w:noProof/>
        </w:rPr>
        <w:t>5</w:t>
      </w:r>
      <w:r>
        <w:fldChar w:fldCharType="end"/>
      </w:r>
      <w:r>
        <w:t>.  </w:t>
      </w:r>
      <w:r w:rsidR="001C28BE">
        <w:t xml:space="preserve">On 10 May 2005 the Chamber decided that the </w:t>
      </w:r>
      <w:r>
        <w:t xml:space="preserve">admissibility and merits of the case should be considered jointly (Article 29 § 3 of the Convention and Rule 54A). </w:t>
      </w:r>
      <w:r w:rsidRPr="002354E4" w:rsidR="00CD49A7">
        <w:t xml:space="preserve">The </w:t>
      </w:r>
      <w:r w:rsidRPr="002354E4" w:rsidR="002354E4">
        <w:t>Chamber</w:t>
      </w:r>
      <w:r w:rsidRPr="002354E4" w:rsidR="00CD49A7">
        <w:t xml:space="preserve"> having decided, after consulting the parties, that no hearing on the merits was required (Rule 59 § 3 </w:t>
      </w:r>
      <w:r w:rsidRPr="002354E4" w:rsidR="00CD49A7">
        <w:rPr>
          <w:i/>
        </w:rPr>
        <w:t>in fine</w:t>
      </w:r>
      <w:r w:rsidRPr="002354E4" w:rsidR="00CD49A7">
        <w:t xml:space="preserve">), </w:t>
      </w:r>
      <w:r w:rsidR="00DF2DD7">
        <w:t>the</w:t>
      </w:r>
      <w:r w:rsidRPr="002354E4" w:rsidR="00CD49A7">
        <w:t xml:space="preserve"> parties replied in writing to each other</w:t>
      </w:r>
      <w:r w:rsidR="005F2AA6">
        <w:t>’</w:t>
      </w:r>
      <w:r w:rsidR="00DF2DD7">
        <w:t>s observations.</w:t>
      </w:r>
    </w:p>
    <w:p w:rsidRPr="002354E4" w:rsidR="00CD49A7" w:rsidP="00F92A55" w:rsidRDefault="00CD49A7">
      <w:pPr>
        <w:pStyle w:val="JuHHead"/>
      </w:pPr>
      <w:r w:rsidRPr="002354E4">
        <w:t>THE FACTS</w:t>
      </w:r>
    </w:p>
    <w:p w:rsidRPr="002354E4" w:rsidR="00CD49A7" w:rsidP="00F92A55" w:rsidRDefault="00CD49A7">
      <w:pPr>
        <w:pStyle w:val="JuHIRoman"/>
      </w:pPr>
      <w:r w:rsidRPr="002354E4">
        <w:t>I.  THE CIRCUMSTANCES OF THE CASE</w:t>
      </w:r>
    </w:p>
    <w:p w:rsidR="00CD49A7" w:rsidP="00F92A55" w:rsidRDefault="002354E4">
      <w:pPr>
        <w:pStyle w:val="JuPara"/>
        <w:keepNext/>
        <w:keepLines/>
      </w:pPr>
      <w:r w:rsidRPr="002354E4">
        <w:fldChar w:fldCharType="begin"/>
      </w:r>
      <w:r w:rsidRPr="002354E4">
        <w:instrText xml:space="preserve"> SEQ level0 \*arabic </w:instrText>
      </w:r>
      <w:r w:rsidRPr="002354E4">
        <w:fldChar w:fldCharType="separate"/>
      </w:r>
      <w:r w:rsidR="005F2AA6">
        <w:rPr>
          <w:noProof/>
        </w:rPr>
        <w:t>6</w:t>
      </w:r>
      <w:r w:rsidRPr="002354E4">
        <w:fldChar w:fldCharType="end"/>
      </w:r>
      <w:r w:rsidRPr="002354E4" w:rsidR="00CD49A7">
        <w:t xml:space="preserve">.  The </w:t>
      </w:r>
      <w:r w:rsidRPr="002354E4">
        <w:t>applicant was born in 1968 and lives</w:t>
      </w:r>
      <w:r w:rsidRPr="002354E4" w:rsidR="00CD49A7">
        <w:t xml:space="preserve"> in </w:t>
      </w:r>
      <w:smartTag w:uri="urn:schemas-microsoft-com:office:smarttags" w:element="place">
        <w:smartTag w:uri="urn:schemas-microsoft-com:office:smarttags" w:element="City">
          <w:r w:rsidRPr="002354E4">
            <w:t>Birmingham</w:t>
          </w:r>
        </w:smartTag>
      </w:smartTag>
      <w:r w:rsidRPr="002354E4" w:rsidR="00CD49A7">
        <w:t>.</w:t>
      </w:r>
      <w:r w:rsidR="00A47EE9">
        <w:t xml:space="preserve"> The facts of the case as submitted by the parties are as follows</w:t>
      </w:r>
      <w:r w:rsidR="009C503B">
        <w:t>.</w:t>
      </w:r>
    </w:p>
    <w:p w:rsidR="00F737E3" w:rsidP="00405393" w:rsidRDefault="00405393">
      <w:pPr>
        <w:pStyle w:val="JuPara"/>
      </w:pPr>
      <w:r>
        <w:fldChar w:fldCharType="begin"/>
      </w:r>
      <w:r>
        <w:instrText xml:space="preserve"> SEQ level0 \*arabic </w:instrText>
      </w:r>
      <w:r>
        <w:fldChar w:fldCharType="separate"/>
      </w:r>
      <w:r w:rsidR="005F2AA6">
        <w:rPr>
          <w:noProof/>
        </w:rPr>
        <w:t>7</w:t>
      </w:r>
      <w:r>
        <w:fldChar w:fldCharType="end"/>
      </w:r>
      <w:r>
        <w:t>.  </w:t>
      </w:r>
      <w:r w:rsidR="009F4B1C">
        <w:t>In July 1998 t</w:t>
      </w:r>
      <w:r w:rsidR="00A47EE9">
        <w:t xml:space="preserve">he applicant and his wife </w:t>
      </w:r>
      <w:r w:rsidR="009F4B1C">
        <w:t>became</w:t>
      </w:r>
      <w:r w:rsidR="00A47EE9">
        <w:t xml:space="preserve"> joint tenants of </w:t>
      </w:r>
      <w:r w:rsidR="009F4B1C">
        <w:t xml:space="preserve">a three-bedroom family house owned by </w:t>
      </w:r>
      <w:r w:rsidR="005B7CF9">
        <w:t>Birmingham City Council (“</w:t>
      </w:r>
      <w:r w:rsidR="009F4B1C">
        <w:t>the local authority</w:t>
      </w:r>
      <w:r w:rsidR="005B7CF9">
        <w:t>”)</w:t>
      </w:r>
      <w:r w:rsidR="009F4B1C">
        <w:t>.</w:t>
      </w:r>
      <w:r w:rsidR="00F75271">
        <w:t xml:space="preserve"> </w:t>
      </w:r>
      <w:r w:rsidR="00F2394E">
        <w:t>They were also secure tenants under the provisions of the Housing Act 1985 (see paragraph</w:t>
      </w:r>
      <w:r w:rsidR="00B66245">
        <w:t xml:space="preserve"> 20 </w:t>
      </w:r>
      <w:r w:rsidR="00F2394E">
        <w:t>below).</w:t>
      </w:r>
    </w:p>
    <w:p w:rsidR="00F737E3" w:rsidP="00405393" w:rsidRDefault="007E296E">
      <w:pPr>
        <w:pStyle w:val="JuPara"/>
      </w:pPr>
      <w:r>
        <w:fldChar w:fldCharType="begin"/>
      </w:r>
      <w:r>
        <w:instrText xml:space="preserve"> SEQ level0 \*arabic </w:instrText>
      </w:r>
      <w:r>
        <w:fldChar w:fldCharType="separate"/>
      </w:r>
      <w:r w:rsidR="005F2AA6">
        <w:rPr>
          <w:noProof/>
        </w:rPr>
        <w:t>8</w:t>
      </w:r>
      <w:r>
        <w:fldChar w:fldCharType="end"/>
      </w:r>
      <w:r>
        <w:t>.  </w:t>
      </w:r>
      <w:r w:rsidR="00A47EE9">
        <w:t xml:space="preserve">The marriage broke down early </w:t>
      </w:r>
      <w:r w:rsidR="00A811C2">
        <w:t xml:space="preserve">in </w:t>
      </w:r>
      <w:r w:rsidR="00A47EE9">
        <w:t>2001 and the applicant</w:t>
      </w:r>
      <w:r w:rsidR="005F2AA6">
        <w:t>’</w:t>
      </w:r>
      <w:r w:rsidR="00A47EE9">
        <w:t>s wife moved out</w:t>
      </w:r>
      <w:r w:rsidR="009F4B1C">
        <w:t xml:space="preserve"> of the house</w:t>
      </w:r>
      <w:r w:rsidR="00396EE0">
        <w:t xml:space="preserve"> with the two children</w:t>
      </w:r>
      <w:r w:rsidR="009F4B1C">
        <w:t xml:space="preserve">. </w:t>
      </w:r>
      <w:r w:rsidR="00405393">
        <w:t>On 5 April 2001</w:t>
      </w:r>
      <w:r w:rsidR="009F4B1C">
        <w:t>, following a contested hearing</w:t>
      </w:r>
      <w:r w:rsidR="00396EE0">
        <w:t xml:space="preserve"> at which the applicant was not represented</w:t>
      </w:r>
      <w:r>
        <w:t xml:space="preserve">, the court made </w:t>
      </w:r>
      <w:r w:rsidR="00405393">
        <w:t>a three-month non-molestation order and an ouster order</w:t>
      </w:r>
      <w:r w:rsidR="009F4B1C">
        <w:t xml:space="preserve"> requiring the applicant to leave the house, which he did. </w:t>
      </w:r>
      <w:r w:rsidR="00396EE0">
        <w:t>Mrs McCann and the children moved back into the house</w:t>
      </w:r>
      <w:r w:rsidR="00C00640">
        <w:t>,</w:t>
      </w:r>
      <w:r w:rsidR="00396EE0">
        <w:t xml:space="preserve"> but moved out again when on 14 April the applicant turned up at the house, used a crowbar to force entry and allegedly assaulted Mrs McCann and her friend. </w:t>
      </w:r>
      <w:r w:rsidR="00405393">
        <w:t xml:space="preserve">Criminal proceedings were </w:t>
      </w:r>
      <w:r w:rsidR="007D38B1">
        <w:t>brought</w:t>
      </w:r>
      <w:r w:rsidR="00405393">
        <w:t xml:space="preserve"> against </w:t>
      </w:r>
      <w:r w:rsidR="00C00640">
        <w:t>the applicant</w:t>
      </w:r>
      <w:r w:rsidR="00405393">
        <w:t xml:space="preserve"> </w:t>
      </w:r>
      <w:r w:rsidR="00C00640">
        <w:t>following this incident,</w:t>
      </w:r>
      <w:r>
        <w:t xml:space="preserve"> but resulted in an acquittal when no evidence was </w:t>
      </w:r>
      <w:r w:rsidR="00C00640">
        <w:t>put forward</w:t>
      </w:r>
      <w:r w:rsidR="00405393">
        <w:t>.</w:t>
      </w:r>
    </w:p>
    <w:p w:rsidR="00CD6E74" w:rsidP="00405393" w:rsidRDefault="00396EE0">
      <w:pPr>
        <w:pStyle w:val="JuPara"/>
      </w:pPr>
      <w:r>
        <w:fldChar w:fldCharType="begin"/>
      </w:r>
      <w:r>
        <w:instrText xml:space="preserve"> SEQ level0 \*arabic </w:instrText>
      </w:r>
      <w:r>
        <w:fldChar w:fldCharType="separate"/>
      </w:r>
      <w:r w:rsidR="005F2AA6">
        <w:rPr>
          <w:noProof/>
        </w:rPr>
        <w:t>9</w:t>
      </w:r>
      <w:r>
        <w:fldChar w:fldCharType="end"/>
      </w:r>
      <w:r>
        <w:t xml:space="preserve">.  On 18 April 2001 Mrs McCann submitted to the local authority an application to be rehoused on grounds of domestic violence. </w:t>
      </w:r>
      <w:r w:rsidRPr="00536855" w:rsidR="00405393">
        <w:t>On 8</w:t>
      </w:r>
      <w:r w:rsidR="00821004">
        <w:t xml:space="preserve"> </w:t>
      </w:r>
      <w:r w:rsidRPr="00536855" w:rsidR="00405393">
        <w:t xml:space="preserve">August 2001 </w:t>
      </w:r>
      <w:r w:rsidR="00C00640">
        <w:t>she</w:t>
      </w:r>
      <w:r w:rsidRPr="00536855" w:rsidR="00405393">
        <w:t xml:space="preserve"> returned the keys to the </w:t>
      </w:r>
      <w:r w:rsidR="002C1611">
        <w:t>local authority</w:t>
      </w:r>
      <w:r w:rsidRPr="00536855" w:rsidR="00405393">
        <w:t xml:space="preserve"> with a note saying that she was giving up</w:t>
      </w:r>
      <w:r w:rsidR="00405393">
        <w:t xml:space="preserve"> the tenancy</w:t>
      </w:r>
      <w:r w:rsidR="00E84D7B">
        <w:t>. S</w:t>
      </w:r>
      <w:r w:rsidR="002C1611">
        <w:t xml:space="preserve">he </w:t>
      </w:r>
      <w:r w:rsidR="00C00640">
        <w:t>and the children moved into another council house</w:t>
      </w:r>
      <w:r w:rsidR="00CD6E74">
        <w:t xml:space="preserve"> which had been allocated to them in accordance with the local authority</w:t>
      </w:r>
      <w:r w:rsidR="005F2AA6">
        <w:t>’</w:t>
      </w:r>
      <w:r w:rsidR="00CD6E74">
        <w:t xml:space="preserve">s domestic violence policy. </w:t>
      </w:r>
      <w:r w:rsidR="00C53E1B">
        <w:t>The local authority visited the house and found that most of the fixtures had been removed so that in excess of</w:t>
      </w:r>
      <w:r w:rsidR="007D38B1">
        <w:t xml:space="preserve"> </w:t>
      </w:r>
      <w:r w:rsidR="00C53E1B">
        <w:t>15,000</w:t>
      </w:r>
      <w:r w:rsidR="007D38B1">
        <w:t xml:space="preserve"> pounds sterling </w:t>
      </w:r>
      <w:r w:rsidR="00C53E1B">
        <w:t>would be required to make it habitable. Thereafter, as far as the local authority was concerned, the property was uninhabited.</w:t>
      </w:r>
    </w:p>
    <w:p w:rsidR="00E84D7B" w:rsidP="00405393" w:rsidRDefault="00405393">
      <w:pPr>
        <w:pStyle w:val="JuPara"/>
      </w:pPr>
      <w:r>
        <w:fldChar w:fldCharType="begin"/>
      </w:r>
      <w:r>
        <w:instrText xml:space="preserve"> SEQ level0 \*arabic </w:instrText>
      </w:r>
      <w:r>
        <w:fldChar w:fldCharType="separate"/>
      </w:r>
      <w:r w:rsidR="005F2AA6">
        <w:rPr>
          <w:noProof/>
        </w:rPr>
        <w:t>10</w:t>
      </w:r>
      <w:r>
        <w:fldChar w:fldCharType="end"/>
      </w:r>
      <w:r>
        <w:t>.  </w:t>
      </w:r>
      <w:r w:rsidRPr="00536855">
        <w:t xml:space="preserve">In November 2001 the applicant returned to the </w:t>
      </w:r>
      <w:r w:rsidR="00C53E1B">
        <w:t>house</w:t>
      </w:r>
      <w:r w:rsidRPr="00536855">
        <w:t xml:space="preserve"> and did a considerable amount of work</w:t>
      </w:r>
      <w:r w:rsidR="009F4B1C">
        <w:t xml:space="preserve"> </w:t>
      </w:r>
      <w:r w:rsidR="00C53E1B">
        <w:t xml:space="preserve">to renovate it. </w:t>
      </w:r>
      <w:r w:rsidR="00753F53">
        <w:t>His relationship with Mrs </w:t>
      </w:r>
      <w:r w:rsidR="00E84D7B">
        <w:t>McCann improved and she supported his application for an exchange of accommodation with another local</w:t>
      </w:r>
      <w:r w:rsidR="00C463CE">
        <w:t>-</w:t>
      </w:r>
      <w:r w:rsidR="00E84D7B">
        <w:t>authority tenant</w:t>
      </w:r>
      <w:r w:rsidR="000A7D71">
        <w:t>, as</w:t>
      </w:r>
      <w:r w:rsidR="00E84D7B">
        <w:t xml:space="preserve"> the three-bedroom house was too big for him but he still required a home in the area </w:t>
      </w:r>
      <w:r w:rsidR="000A7D71">
        <w:t>so that his</w:t>
      </w:r>
      <w:r w:rsidR="00E84D7B">
        <w:t xml:space="preserve"> children</w:t>
      </w:r>
      <w:r w:rsidR="000A7D71">
        <w:t xml:space="preserve"> could visit</w:t>
      </w:r>
      <w:r w:rsidR="00E84D7B">
        <w:t>.</w:t>
      </w:r>
    </w:p>
    <w:p w:rsidR="0017304A" w:rsidP="00405393" w:rsidRDefault="00E84D7B">
      <w:pPr>
        <w:pStyle w:val="JuPara"/>
      </w:pPr>
      <w:r>
        <w:fldChar w:fldCharType="begin"/>
      </w:r>
      <w:r>
        <w:instrText xml:space="preserve"> SEQ level0 \*arabic </w:instrText>
      </w:r>
      <w:r>
        <w:fldChar w:fldCharType="separate"/>
      </w:r>
      <w:r w:rsidR="005F2AA6">
        <w:rPr>
          <w:noProof/>
        </w:rPr>
        <w:t>11</w:t>
      </w:r>
      <w:r>
        <w:fldChar w:fldCharType="end"/>
      </w:r>
      <w:r>
        <w:t>.  </w:t>
      </w:r>
      <w:r w:rsidR="003B1D37">
        <w:t xml:space="preserve">That application, dated 4 January </w:t>
      </w:r>
      <w:r w:rsidRPr="00536855" w:rsidR="00405393">
        <w:t>2002</w:t>
      </w:r>
      <w:r w:rsidR="00F21133">
        <w:t>,</w:t>
      </w:r>
      <w:r w:rsidRPr="00536855" w:rsidR="00405393">
        <w:t xml:space="preserve"> </w:t>
      </w:r>
      <w:r w:rsidR="003B1D37">
        <w:t>was completed at the local</w:t>
      </w:r>
      <w:r w:rsidR="00C463CE">
        <w:t>-</w:t>
      </w:r>
      <w:r w:rsidR="003B1D37">
        <w:t>authority housing office. On the same day, a housing officer</w:t>
      </w:r>
      <w:r w:rsidR="00C53E1B">
        <w:t>, having realised that the property was not in fact empty, and having taken legal advice,</w:t>
      </w:r>
      <w:r w:rsidR="003B1D37">
        <w:t xml:space="preserve"> visited Mrs McCann and asked her to close the tenancy by signing </w:t>
      </w:r>
      <w:r w:rsidRPr="00536855" w:rsidR="00405393">
        <w:t xml:space="preserve">a notice to quit. The </w:t>
      </w:r>
      <w:r w:rsidR="0017304A">
        <w:t>County Court judge who heard the local authority</w:t>
      </w:r>
      <w:r w:rsidR="005F2AA6">
        <w:t>’</w:t>
      </w:r>
      <w:r w:rsidR="0017304A">
        <w:t xml:space="preserve">s claim for possession found as a fact that Mrs McCann was not advised and had no understanding </w:t>
      </w:r>
      <w:r w:rsidR="00456E6A">
        <w:t xml:space="preserve">that the </w:t>
      </w:r>
      <w:r w:rsidR="0017304A">
        <w:t xml:space="preserve">notice to quit </w:t>
      </w:r>
      <w:r w:rsidR="00456E6A">
        <w:t xml:space="preserve">would have the effect of extinguishing the </w:t>
      </w:r>
      <w:r w:rsidR="0017304A">
        <w:t>applicant</w:t>
      </w:r>
      <w:r w:rsidR="005F2AA6">
        <w:t>’</w:t>
      </w:r>
      <w:r w:rsidR="0017304A">
        <w:t>s right to live in the house or exchange it for another local</w:t>
      </w:r>
      <w:r w:rsidR="00C463CE">
        <w:noBreakHyphen/>
      </w:r>
      <w:r w:rsidR="0017304A">
        <w:t>authority property</w:t>
      </w:r>
      <w:r w:rsidR="00F2394E">
        <w:t xml:space="preserve"> (see paragraph </w:t>
      </w:r>
      <w:r w:rsidR="00B66245">
        <w:t>19</w:t>
      </w:r>
      <w:r w:rsidR="00F2394E">
        <w:t xml:space="preserve"> below)</w:t>
      </w:r>
      <w:r w:rsidR="0017304A">
        <w:t xml:space="preserve">. </w:t>
      </w:r>
      <w:r w:rsidR="00456E6A">
        <w:t xml:space="preserve">Approximately </w:t>
      </w:r>
      <w:r w:rsidR="003E5A3C">
        <w:t>one</w:t>
      </w:r>
      <w:r w:rsidR="00456E6A">
        <w:t xml:space="preserve"> week later Mrs McCann wrote to the local authority seeking to withdraw the notice to quit, </w:t>
      </w:r>
      <w:r w:rsidR="00111B6C">
        <w:t>but it</w:t>
      </w:r>
      <w:r w:rsidR="00456E6A">
        <w:t xml:space="preserve"> nonetheless remained effective.</w:t>
      </w:r>
    </w:p>
    <w:p w:rsidR="00405393" w:rsidP="00405393" w:rsidRDefault="00405393">
      <w:pPr>
        <w:pStyle w:val="JuPara"/>
        <w:rPr>
          <w:szCs w:val="24"/>
        </w:rPr>
      </w:pPr>
      <w:r>
        <w:fldChar w:fldCharType="begin"/>
      </w:r>
      <w:r>
        <w:instrText xml:space="preserve"> SEQ level0 \*arabic </w:instrText>
      </w:r>
      <w:r>
        <w:fldChar w:fldCharType="separate"/>
      </w:r>
      <w:r w:rsidR="005F2AA6">
        <w:rPr>
          <w:noProof/>
        </w:rPr>
        <w:t>12</w:t>
      </w:r>
      <w:r>
        <w:fldChar w:fldCharType="end"/>
      </w:r>
      <w:r>
        <w:t>.  </w:t>
      </w:r>
      <w:r w:rsidRPr="00536855">
        <w:t>The applicant was informed that the tenancy had come to an end, and he was given notice to vacate.</w:t>
      </w:r>
      <w:r>
        <w:t xml:space="preserve"> </w:t>
      </w:r>
      <w:r>
        <w:rPr>
          <w:szCs w:val="24"/>
        </w:rPr>
        <w:t xml:space="preserve">On 11 June 2002 the </w:t>
      </w:r>
      <w:r w:rsidR="00193838">
        <w:rPr>
          <w:szCs w:val="24"/>
        </w:rPr>
        <w:t>local authority</w:t>
      </w:r>
      <w:r w:rsidR="005F2AA6">
        <w:rPr>
          <w:szCs w:val="24"/>
        </w:rPr>
        <w:t>’</w:t>
      </w:r>
      <w:r w:rsidR="00193838">
        <w:rPr>
          <w:szCs w:val="24"/>
        </w:rPr>
        <w:t xml:space="preserve">s </w:t>
      </w:r>
      <w:r>
        <w:rPr>
          <w:szCs w:val="24"/>
        </w:rPr>
        <w:t xml:space="preserve">Allocations Officer Review Panel decided, </w:t>
      </w:r>
      <w:r w:rsidRPr="00772EDB">
        <w:rPr>
          <w:i/>
          <w:szCs w:val="24"/>
        </w:rPr>
        <w:t>inter alia</w:t>
      </w:r>
      <w:r>
        <w:rPr>
          <w:szCs w:val="24"/>
        </w:rPr>
        <w:t>, that in accordance with the domestic violence</w:t>
      </w:r>
      <w:r w:rsidR="009D5B80">
        <w:rPr>
          <w:szCs w:val="24"/>
        </w:rPr>
        <w:t xml:space="preserve"> policy</w:t>
      </w:r>
      <w:r w:rsidR="00502C67">
        <w:rPr>
          <w:szCs w:val="24"/>
        </w:rPr>
        <w:t>,</w:t>
      </w:r>
      <w:r>
        <w:rPr>
          <w:szCs w:val="24"/>
        </w:rPr>
        <w:t xml:space="preserve"> the applicant would not be granted the right to accede to the former tenancy of the house and that, in any event, the applicant, who had no dependants living with him, would not qualify for a dwelling originally allocated to a qualifying family which had been rehoused.</w:t>
      </w:r>
    </w:p>
    <w:p w:rsidR="009B6942" w:rsidP="00193838" w:rsidRDefault="00405393">
      <w:pPr>
        <w:pStyle w:val="JuPara"/>
      </w:pPr>
      <w:r>
        <w:fldChar w:fldCharType="begin"/>
      </w:r>
      <w:r>
        <w:instrText xml:space="preserve"> SEQ level0 \*arabic </w:instrText>
      </w:r>
      <w:r>
        <w:fldChar w:fldCharType="separate"/>
      </w:r>
      <w:r w:rsidR="005F2AA6">
        <w:rPr>
          <w:noProof/>
        </w:rPr>
        <w:t>13</w:t>
      </w:r>
      <w:r>
        <w:fldChar w:fldCharType="end"/>
      </w:r>
      <w:r>
        <w:t>.  On 11</w:t>
      </w:r>
      <w:r w:rsidRPr="00536855">
        <w:t xml:space="preserve"> October 2002</w:t>
      </w:r>
      <w:r>
        <w:t xml:space="preserve"> the </w:t>
      </w:r>
      <w:r w:rsidR="009B6942">
        <w:t xml:space="preserve">local </w:t>
      </w:r>
      <w:r w:rsidR="00502C67">
        <w:t>authority</w:t>
      </w:r>
      <w:r w:rsidRPr="00536855">
        <w:t xml:space="preserve"> brought possession proceedings against the applicant</w:t>
      </w:r>
      <w:r w:rsidR="00550ACA">
        <w:t xml:space="preserve"> </w:t>
      </w:r>
      <w:r w:rsidR="009B6942">
        <w:t xml:space="preserve">in the County Court, </w:t>
      </w:r>
      <w:r w:rsidR="00550ACA">
        <w:t xml:space="preserve">which </w:t>
      </w:r>
      <w:r w:rsidR="00193838">
        <w:t>he</w:t>
      </w:r>
      <w:r w:rsidR="00550ACA">
        <w:t xml:space="preserve"> defended on the basis</w:t>
      </w:r>
      <w:r w:rsidR="009B6942">
        <w:t xml:space="preserve"> that it was contrary to his right to respect for his home </w:t>
      </w:r>
      <w:r w:rsidR="00860C62">
        <w:t>u</w:t>
      </w:r>
      <w:r w:rsidR="00A30D34">
        <w:t xml:space="preserve">nder Article 8 of the Convention </w:t>
      </w:r>
      <w:r w:rsidR="009B6942">
        <w:t>to be evicted on the basis of the notice to quit.</w:t>
      </w:r>
    </w:p>
    <w:p w:rsidR="00F737E3" w:rsidP="00193838" w:rsidRDefault="009B6942">
      <w:pPr>
        <w:pStyle w:val="JuPara"/>
      </w:pPr>
      <w:r>
        <w:fldChar w:fldCharType="begin"/>
      </w:r>
      <w:r>
        <w:instrText xml:space="preserve"> SEQ level0 \*arabic </w:instrText>
      </w:r>
      <w:r>
        <w:fldChar w:fldCharType="separate"/>
      </w:r>
      <w:r w:rsidR="005F2AA6">
        <w:rPr>
          <w:noProof/>
        </w:rPr>
        <w:t>14</w:t>
      </w:r>
      <w:r>
        <w:fldChar w:fldCharType="end"/>
      </w:r>
      <w:r>
        <w:t>.  </w:t>
      </w:r>
      <w:r w:rsidRPr="00536855" w:rsidR="00405393">
        <w:t>In his judgment of 15</w:t>
      </w:r>
      <w:r w:rsidR="00821004">
        <w:t xml:space="preserve"> </w:t>
      </w:r>
      <w:r w:rsidRPr="00536855" w:rsidR="00405393">
        <w:t>April 2003</w:t>
      </w:r>
      <w:r>
        <w:t>,</w:t>
      </w:r>
      <w:r w:rsidRPr="00536855" w:rsidR="00405393">
        <w:t xml:space="preserve"> the </w:t>
      </w:r>
      <w:r>
        <w:t xml:space="preserve">County Court </w:t>
      </w:r>
      <w:r w:rsidRPr="00536855" w:rsidR="00405393">
        <w:t xml:space="preserve">judge </w:t>
      </w:r>
      <w:r w:rsidR="0069514D">
        <w:t>held that under the common law and Housing Act (see paragraph</w:t>
      </w:r>
      <w:r w:rsidR="00B66245">
        <w:t>s 19-20</w:t>
      </w:r>
      <w:r w:rsidR="0069514D">
        <w:t xml:space="preserve"> below), the applicant had</w:t>
      </w:r>
      <w:r w:rsidRPr="00536855" w:rsidR="00405393">
        <w:t xml:space="preserve"> no defence to the </w:t>
      </w:r>
      <w:r w:rsidR="00193838">
        <w:t>authority</w:t>
      </w:r>
      <w:r w:rsidR="005F2AA6">
        <w:t>’</w:t>
      </w:r>
      <w:r w:rsidR="00193838">
        <w:t xml:space="preserve">s </w:t>
      </w:r>
      <w:r w:rsidRPr="00536855" w:rsidR="00405393">
        <w:t>claim</w:t>
      </w:r>
      <w:r w:rsidR="00193838">
        <w:t xml:space="preserve"> for possession</w:t>
      </w:r>
      <w:r w:rsidRPr="00536855" w:rsidR="00405393">
        <w:t xml:space="preserve">. </w:t>
      </w:r>
      <w:r w:rsidR="0069514D">
        <w:t>Under Article 8</w:t>
      </w:r>
      <w:r w:rsidR="000723A2">
        <w:t xml:space="preserve"> of the Convention</w:t>
      </w:r>
      <w:r w:rsidR="0069514D">
        <w:t xml:space="preserve">, </w:t>
      </w:r>
      <w:r w:rsidR="00860C62">
        <w:t>however, he cited previous case-</w:t>
      </w:r>
      <w:r w:rsidR="0069514D">
        <w:t xml:space="preserve">law which held that in such cases, generally, the interest of the local authority as landlord and of other persons in need of social housing </w:t>
      </w:r>
      <w:r w:rsidR="003602F7">
        <w:t>had been taken into account by the applicable common law and legislation, and that, provided that the local authority had acted lawfully, it was not open to a court to put aside a claim for possession, except in exceptional circumstances</w:t>
      </w:r>
      <w:r w:rsidR="00261840">
        <w:t xml:space="preserve"> where it appeared that </w:t>
      </w:r>
      <w:r w:rsidR="002E4F16">
        <w:t>the former tenant</w:t>
      </w:r>
      <w:r w:rsidR="005F2AA6">
        <w:t>’</w:t>
      </w:r>
      <w:r w:rsidR="002E4F16">
        <w:t xml:space="preserve">s </w:t>
      </w:r>
      <w:r w:rsidR="00261840">
        <w:t>Article 8 rights had not been properly considered</w:t>
      </w:r>
      <w:r w:rsidR="003602F7">
        <w:t xml:space="preserve">. </w:t>
      </w:r>
      <w:r w:rsidR="002E4F16">
        <w:t xml:space="preserve">He noted the circumstances in which Mrs McCann had signed the notice to quit and observed that, if she had not been induced to sign it, the local authority would have had to apply for a possession order under section 84 of the Housing Act 1985 (see paragraph </w:t>
      </w:r>
      <w:r w:rsidR="00B66245">
        <w:t>20</w:t>
      </w:r>
      <w:r w:rsidR="002E4F16">
        <w:t xml:space="preserve"> below). It would then have been open to the applicant to seek to persuade the court that it would not be reasonable to grant the order; he and Mrs McCann could have given evidence regarding the alleged domestic violence; and he could in addition have raised such issues as his own housing needs and the need to provide accommodation for the children when they visited.</w:t>
      </w:r>
      <w:r w:rsidR="00F737E3">
        <w:t xml:space="preserve"> </w:t>
      </w:r>
      <w:r w:rsidR="006E05F9">
        <w:t>In the circumstances, the judge held that the local authority had not acted as required by Article 8 § 2 of the Convention and he dismissed the claim for possession.</w:t>
      </w:r>
    </w:p>
    <w:p w:rsidRPr="00536855" w:rsidR="00405393" w:rsidP="00405393" w:rsidRDefault="00D27BE0">
      <w:pPr>
        <w:pStyle w:val="JuPara"/>
      </w:pPr>
      <w:r>
        <w:fldChar w:fldCharType="begin"/>
      </w:r>
      <w:r>
        <w:instrText xml:space="preserve"> SEQ level0 \*arabic </w:instrText>
      </w:r>
      <w:r>
        <w:fldChar w:fldCharType="separate"/>
      </w:r>
      <w:r w:rsidR="005F2AA6">
        <w:rPr>
          <w:noProof/>
        </w:rPr>
        <w:t>15</w:t>
      </w:r>
      <w:r>
        <w:fldChar w:fldCharType="end"/>
      </w:r>
      <w:r>
        <w:t>.  </w:t>
      </w:r>
      <w:r w:rsidRPr="00536855" w:rsidR="00405393">
        <w:t xml:space="preserve">The </w:t>
      </w:r>
      <w:r w:rsidR="00550ACA">
        <w:t>authority</w:t>
      </w:r>
      <w:r w:rsidR="005F2AA6">
        <w:t>’</w:t>
      </w:r>
      <w:r w:rsidR="00550ACA">
        <w:t>s</w:t>
      </w:r>
      <w:r w:rsidRPr="00536855" w:rsidR="00405393">
        <w:t xml:space="preserve"> appeal to the Court of Appeal was adjourned pending the outcome of proceedings before </w:t>
      </w:r>
      <w:r w:rsidRPr="00536855" w:rsidR="00550ACA">
        <w:t xml:space="preserve">the House of Lords in </w:t>
      </w:r>
      <w:r w:rsidRPr="00536855" w:rsidR="00550ACA">
        <w:rPr>
          <w:i/>
        </w:rPr>
        <w:t>London Borough of Harrow</w:t>
      </w:r>
      <w:r w:rsidR="00EF6CAC">
        <w:rPr>
          <w:i/>
        </w:rPr>
        <w:t xml:space="preserve"> v. </w:t>
      </w:r>
      <w:proofErr w:type="spellStart"/>
      <w:r w:rsidR="00EF6CAC">
        <w:rPr>
          <w:i/>
        </w:rPr>
        <w:t>Qazi</w:t>
      </w:r>
      <w:proofErr w:type="spellEnd"/>
      <w:r w:rsidR="00550ACA">
        <w:t xml:space="preserve"> [2003] UKHL 43</w:t>
      </w:r>
      <w:r w:rsidR="009E53C4">
        <w:t xml:space="preserve"> (</w:t>
      </w:r>
      <w:r w:rsidR="00550ACA">
        <w:t>see paragraph</w:t>
      </w:r>
      <w:r w:rsidR="00B66245">
        <w:t>s</w:t>
      </w:r>
      <w:r w:rsidR="009E53C4">
        <w:t xml:space="preserve"> </w:t>
      </w:r>
      <w:r w:rsidR="00B66245">
        <w:t>22</w:t>
      </w:r>
      <w:r w:rsidR="009E53C4">
        <w:t>-</w:t>
      </w:r>
      <w:r w:rsidR="00B66245">
        <w:t>25</w:t>
      </w:r>
      <w:r w:rsidR="00550ACA">
        <w:t xml:space="preserve"> below).</w:t>
      </w:r>
      <w:r w:rsidR="00821004">
        <w:t xml:space="preserve"> </w:t>
      </w:r>
      <w:r w:rsidR="00405393">
        <w:t>On 9</w:t>
      </w:r>
      <w:r w:rsidR="00821004">
        <w:t xml:space="preserve"> </w:t>
      </w:r>
      <w:r w:rsidRPr="00536855" w:rsidR="00405393">
        <w:t xml:space="preserve">December 2003 Lord Justice </w:t>
      </w:r>
      <w:smartTag w:uri="urn:schemas-microsoft-com:office:smarttags" w:element="PersonName">
        <w:r w:rsidR="00405393" w:rsidRPr="00536855">
          <w:t>Mum</w:t>
        </w:r>
      </w:smartTag>
      <w:r w:rsidRPr="00536855" w:rsidR="00405393">
        <w:t>mery gave the judgment of the Court of Appeal in the present case</w:t>
      </w:r>
      <w:r w:rsidR="00550ACA">
        <w:t xml:space="preserve">, holding </w:t>
      </w:r>
      <w:r w:rsidRPr="00536855" w:rsidR="00405393">
        <w:t>as follows:</w:t>
      </w:r>
    </w:p>
    <w:p w:rsidRPr="00536855" w:rsidR="00405393" w:rsidP="00405393" w:rsidRDefault="00405393">
      <w:pPr>
        <w:pStyle w:val="JuQuot"/>
      </w:pPr>
      <w:r w:rsidRPr="00536855">
        <w:t xml:space="preserve">“ </w:t>
      </w:r>
      <w:r w:rsidR="00776D6F">
        <w:t>...</w:t>
      </w:r>
      <w:r w:rsidRPr="00536855">
        <w:t xml:space="preserve"> Article 8 is not available as a defence to the possession proceedings, even though the premises in question w</w:t>
      </w:r>
      <w:r>
        <w:t>ere</w:t>
      </w:r>
      <w:r w:rsidR="00550ACA">
        <w:t xml:space="preserve"> the </w:t>
      </w:r>
      <w:r w:rsidR="005F2AA6">
        <w:t>‘</w:t>
      </w:r>
      <w:r w:rsidR="00550ACA">
        <w:t>home</w:t>
      </w:r>
      <w:r w:rsidR="005F2AA6">
        <w:t>’</w:t>
      </w:r>
      <w:r w:rsidRPr="00536855">
        <w:t xml:space="preserve"> of the occupant for the purposes of the </w:t>
      </w:r>
      <w:r w:rsidR="000723A2">
        <w:t>A</w:t>
      </w:r>
      <w:r w:rsidRPr="00536855">
        <w:t xml:space="preserve">rticle. The </w:t>
      </w:r>
      <w:r w:rsidR="006535C4">
        <w:t>C</w:t>
      </w:r>
      <w:r w:rsidRPr="00536855">
        <w:t>ouncil acted lawfully and within its powers in obtaining the notice to quit, which had the effect of terminating the secure tenancy. There was no dispute but that the tenancy had been brought to an end by [the applicant</w:t>
      </w:r>
      <w:r w:rsidR="005F2AA6">
        <w:t>’</w:t>
      </w:r>
      <w:r w:rsidRPr="00536855">
        <w:t>s wife</w:t>
      </w:r>
      <w:r w:rsidR="005F2AA6">
        <w:t>’</w:t>
      </w:r>
      <w:r w:rsidRPr="00536855">
        <w:t xml:space="preserve">s] notice to quit. Under ordinary domestic law the </w:t>
      </w:r>
      <w:r w:rsidR="006535C4">
        <w:t>C</w:t>
      </w:r>
      <w:r w:rsidRPr="00536855">
        <w:t xml:space="preserve">ouncil had an unqualified right to immediate possession on proof that the tenancy of the premises had been brought to an end. The statutory procedure in </w:t>
      </w:r>
      <w:r w:rsidR="00A53AF2">
        <w:t>s</w:t>
      </w:r>
      <w:r w:rsidRPr="00536855">
        <w:t>ection 82 of the 1985 Act, which is available to a local</w:t>
      </w:r>
      <w:r w:rsidR="00C463CE">
        <w:noBreakHyphen/>
      </w:r>
      <w:r w:rsidRPr="00536855">
        <w:t>authority landlord for terminating a secure tenancy, does not apply to a case where the secure tenancy has been terminated by the tenant</w:t>
      </w:r>
      <w:r w:rsidR="005F2AA6">
        <w:t>’</w:t>
      </w:r>
      <w:r w:rsidRPr="00536855">
        <w:t>s notice to quit. That notice to quit was effective, even though the notice was signed without appreciating the consequences for the occupier of the premises.</w:t>
      </w:r>
    </w:p>
    <w:p w:rsidR="00405393" w:rsidP="00405393" w:rsidRDefault="00550ACA">
      <w:pPr>
        <w:pStyle w:val="JuQuot"/>
      </w:pPr>
      <w:r>
        <w:t xml:space="preserve">This is not a </w:t>
      </w:r>
      <w:r w:rsidR="005F2AA6">
        <w:t>‘</w:t>
      </w:r>
      <w:r>
        <w:t>wholly exceptional</w:t>
      </w:r>
      <w:r w:rsidR="005F2AA6">
        <w:t>’</w:t>
      </w:r>
      <w:r w:rsidRPr="00536855" w:rsidR="00405393">
        <w:t xml:space="preserve"> case where, for example, something has happened since the service of the notice to quit, which has fundamentally altered the rights and wrongs of the proposed eviction and the </w:t>
      </w:r>
      <w:r w:rsidR="006535C4">
        <w:t>C</w:t>
      </w:r>
      <w:r w:rsidRPr="00536855" w:rsidR="00405393">
        <w:t xml:space="preserve">ouncil might be required to justify its claim to override the Article 8 right (see </w:t>
      </w:r>
      <w:proofErr w:type="spellStart"/>
      <w:r w:rsidRPr="00536855" w:rsidR="00405393">
        <w:rPr>
          <w:i/>
        </w:rPr>
        <w:t>Qazi</w:t>
      </w:r>
      <w:proofErr w:type="spellEnd"/>
      <w:r w:rsidRPr="00536855" w:rsidR="00405393">
        <w:t xml:space="preserve"> at paragraph 79</w:t>
      </w:r>
      <w:r w:rsidR="002D54C8">
        <w:t xml:space="preserve"> [paragraph </w:t>
      </w:r>
      <w:r w:rsidR="00B66245">
        <w:t>24</w:t>
      </w:r>
      <w:r w:rsidR="002D54C8">
        <w:t xml:space="preserve"> below]</w:t>
      </w:r>
      <w:r w:rsidRPr="00536855" w:rsidR="00405393">
        <w:t>)</w:t>
      </w:r>
      <w:r w:rsidR="00A53AF2">
        <w:t>.</w:t>
      </w:r>
      <w:r w:rsidRPr="00536855" w:rsidR="00405393">
        <w:t>”</w:t>
      </w:r>
    </w:p>
    <w:p w:rsidR="00405393" w:rsidP="00405393" w:rsidRDefault="00405393">
      <w:pPr>
        <w:pStyle w:val="JuPara"/>
        <w:rPr>
          <w:szCs w:val="24"/>
        </w:rPr>
      </w:pPr>
      <w:r>
        <w:fldChar w:fldCharType="begin"/>
      </w:r>
      <w:r>
        <w:instrText xml:space="preserve"> SEQ level0 \*arabic </w:instrText>
      </w:r>
      <w:r>
        <w:fldChar w:fldCharType="separate"/>
      </w:r>
      <w:r w:rsidR="005F2AA6">
        <w:rPr>
          <w:noProof/>
        </w:rPr>
        <w:t>16</w:t>
      </w:r>
      <w:r>
        <w:fldChar w:fldCharType="end"/>
      </w:r>
      <w:r>
        <w:t xml:space="preserve">.  The applicant applied for judicial review of the </w:t>
      </w:r>
      <w:r w:rsidR="000B114C">
        <w:t>local authority</w:t>
      </w:r>
      <w:r w:rsidR="005F2AA6">
        <w:t>’</w:t>
      </w:r>
      <w:r w:rsidR="000B114C">
        <w:t>s</w:t>
      </w:r>
      <w:r>
        <w:t xml:space="preserve"> decision of 4 January 2002 to procure a notice to quit from </w:t>
      </w:r>
      <w:r w:rsidR="000B114C">
        <w:t>his</w:t>
      </w:r>
      <w:r>
        <w:t xml:space="preserve"> wife, and of </w:t>
      </w:r>
      <w:r w:rsidR="000B114C">
        <w:t>its</w:t>
      </w:r>
      <w:r>
        <w:t xml:space="preserve"> decision of 11 June 2002 to issue possession proceedings</w:t>
      </w:r>
      <w:r w:rsidR="000B114C">
        <w:t xml:space="preserve">. The application was refused </w:t>
      </w:r>
      <w:r>
        <w:t xml:space="preserve">on 23 September 2004. </w:t>
      </w:r>
      <w:r w:rsidR="000B114C">
        <w:t xml:space="preserve">The judge found, </w:t>
      </w:r>
      <w:r w:rsidR="000B114C">
        <w:rPr>
          <w:i/>
        </w:rPr>
        <w:t>inter alia</w:t>
      </w:r>
      <w:r w:rsidR="000B114C">
        <w:t>, that the local authority had acted within its powers in seeking, through the wife</w:t>
      </w:r>
      <w:r w:rsidR="005F2AA6">
        <w:t>’</w:t>
      </w:r>
      <w:r w:rsidR="000B114C">
        <w:t xml:space="preserve">s notice to quit, to formalise the situation as regards the tenancy and that its </w:t>
      </w:r>
      <w:r>
        <w:rPr>
          <w:szCs w:val="24"/>
        </w:rPr>
        <w:t xml:space="preserve">decision to apply </w:t>
      </w:r>
      <w:r w:rsidR="000B114C">
        <w:rPr>
          <w:szCs w:val="24"/>
        </w:rPr>
        <w:t>its</w:t>
      </w:r>
      <w:r>
        <w:rPr>
          <w:szCs w:val="24"/>
        </w:rPr>
        <w:t xml:space="preserve"> domestic violence policy where domestic violence had been established by the existence of a non-molestation injunction and ouster clause was neither unlawful nor outside the range of decisions properly open to the </w:t>
      </w:r>
      <w:r w:rsidR="004719B6">
        <w:rPr>
          <w:szCs w:val="24"/>
        </w:rPr>
        <w:t xml:space="preserve">local </w:t>
      </w:r>
      <w:r w:rsidR="00550ACA">
        <w:rPr>
          <w:szCs w:val="24"/>
        </w:rPr>
        <w:t>authority</w:t>
      </w:r>
      <w:r>
        <w:rPr>
          <w:szCs w:val="24"/>
        </w:rPr>
        <w:t xml:space="preserve"> in all the circumstances. </w:t>
      </w:r>
      <w:r w:rsidR="00617FF1">
        <w:rPr>
          <w:szCs w:val="24"/>
        </w:rPr>
        <w:t>He concluded:</w:t>
      </w:r>
    </w:p>
    <w:p w:rsidR="00617FF1" w:rsidP="00617FF1" w:rsidRDefault="00617FF1">
      <w:pPr>
        <w:pStyle w:val="JuQuot"/>
      </w:pPr>
      <w:r>
        <w:t xml:space="preserve">“I agree </w:t>
      </w:r>
      <w:r w:rsidR="00776D6F">
        <w:t>...</w:t>
      </w:r>
      <w:r>
        <w:t xml:space="preserve"> that the Court of Appeal effectively decided the relevant issues between Mr McCann and the Council and that this application is an attempt to resurrect them a second time. The Council is entitled to possession and this application for judicial review fails. </w:t>
      </w:r>
      <w:r w:rsidR="00776D6F">
        <w:t>...</w:t>
      </w:r>
    </w:p>
    <w:p w:rsidR="00617FF1" w:rsidP="00617FF1" w:rsidRDefault="00617FF1">
      <w:pPr>
        <w:pStyle w:val="JuQuot"/>
      </w:pPr>
      <w:r>
        <w:t>As for the generality, whether or not a decision can be challenged as a matter of law does not mean that it is not appropriate for a public authority to be as open as it can be. There is no reason why the Council</w:t>
      </w:r>
      <w:r w:rsidR="005F2AA6">
        <w:t>’</w:t>
      </w:r>
      <w:r>
        <w:t>s policy should not be absolutely explicit, spelling out that the consequence of an application for rehousing will be a requirement to give notice to quit of the existing tenancy which will affect the rights of the remaining tenant or occupier and thereafter providing notice to that person. In that way, clarity will prevail and some of the concerns that have been expressed in this case avoided.”</w:t>
      </w:r>
    </w:p>
    <w:p w:rsidR="00405393" w:rsidP="00405393" w:rsidRDefault="00405393">
      <w:pPr>
        <w:pStyle w:val="JuPara"/>
        <w:rPr>
          <w:szCs w:val="24"/>
        </w:rPr>
      </w:pPr>
      <w:r>
        <w:rPr>
          <w:szCs w:val="24"/>
        </w:rPr>
        <w:fldChar w:fldCharType="begin"/>
      </w:r>
      <w:r>
        <w:rPr>
          <w:szCs w:val="24"/>
        </w:rPr>
        <w:instrText xml:space="preserve"> SEQ level0 \*arabic </w:instrText>
      </w:r>
      <w:r>
        <w:rPr>
          <w:szCs w:val="24"/>
        </w:rPr>
        <w:fldChar w:fldCharType="separate"/>
      </w:r>
      <w:r w:rsidR="005F2AA6">
        <w:rPr>
          <w:noProof/>
          <w:szCs w:val="24"/>
        </w:rPr>
        <w:t>17</w:t>
      </w:r>
      <w:r>
        <w:rPr>
          <w:szCs w:val="24"/>
        </w:rPr>
        <w:fldChar w:fldCharType="end"/>
      </w:r>
      <w:r>
        <w:rPr>
          <w:szCs w:val="24"/>
        </w:rPr>
        <w:t>.  Permission to appeal to the Court of Appeal was refused on 9</w:t>
      </w:r>
      <w:r w:rsidR="004820A1">
        <w:rPr>
          <w:szCs w:val="24"/>
        </w:rPr>
        <w:t> </w:t>
      </w:r>
      <w:r>
        <w:rPr>
          <w:szCs w:val="24"/>
        </w:rPr>
        <w:t>December 2004.</w:t>
      </w:r>
    </w:p>
    <w:p w:rsidR="00F737E3" w:rsidP="00405393" w:rsidRDefault="00405393">
      <w:pPr>
        <w:pStyle w:val="JuPara"/>
        <w:rPr>
          <w:szCs w:val="24"/>
        </w:rPr>
      </w:pPr>
      <w:r>
        <w:rPr>
          <w:szCs w:val="24"/>
        </w:rPr>
        <w:fldChar w:fldCharType="begin"/>
      </w:r>
      <w:r>
        <w:rPr>
          <w:szCs w:val="24"/>
        </w:rPr>
        <w:instrText xml:space="preserve"> SEQ level0 \*arabic </w:instrText>
      </w:r>
      <w:r>
        <w:rPr>
          <w:szCs w:val="24"/>
        </w:rPr>
        <w:fldChar w:fldCharType="separate"/>
      </w:r>
      <w:r w:rsidR="005F2AA6">
        <w:rPr>
          <w:noProof/>
          <w:szCs w:val="24"/>
        </w:rPr>
        <w:t>18</w:t>
      </w:r>
      <w:r>
        <w:rPr>
          <w:szCs w:val="24"/>
        </w:rPr>
        <w:fldChar w:fldCharType="end"/>
      </w:r>
      <w:r>
        <w:rPr>
          <w:szCs w:val="24"/>
        </w:rPr>
        <w:t>.  The applicant was evicted from the house on 22 March 2005</w:t>
      </w:r>
      <w:r w:rsidR="004820A1">
        <w:rPr>
          <w:szCs w:val="24"/>
        </w:rPr>
        <w:t>.</w:t>
      </w:r>
    </w:p>
    <w:p w:rsidR="00CD49A7" w:rsidP="00DF2DD7" w:rsidRDefault="00DF2DD7">
      <w:pPr>
        <w:pStyle w:val="JuHIRoman"/>
      </w:pPr>
      <w:r>
        <w:t>II.  RELEVANT DOMESTIC LAW AND PRACTICE</w:t>
      </w:r>
    </w:p>
    <w:p w:rsidR="00F737E3" w:rsidP="00D40EB7" w:rsidRDefault="009578FF">
      <w:pPr>
        <w:pStyle w:val="JuHA"/>
      </w:pPr>
      <w:r>
        <w:t>A.  </w:t>
      </w:r>
      <w:r w:rsidR="00111B6C">
        <w:t>Notice to quit</w:t>
      </w:r>
      <w:r w:rsidR="00F7744F">
        <w:t xml:space="preserve"> under common law</w:t>
      </w:r>
    </w:p>
    <w:p w:rsidR="0017304A" w:rsidP="0017304A" w:rsidRDefault="0017304A">
      <w:pPr>
        <w:pStyle w:val="JuPara"/>
      </w:pPr>
      <w:r>
        <w:fldChar w:fldCharType="begin"/>
      </w:r>
      <w:r>
        <w:instrText xml:space="preserve"> SEQ level0 \*arabic </w:instrText>
      </w:r>
      <w:r>
        <w:fldChar w:fldCharType="separate"/>
      </w:r>
      <w:r w:rsidR="005F2AA6">
        <w:rPr>
          <w:noProof/>
        </w:rPr>
        <w:t>19</w:t>
      </w:r>
      <w:r>
        <w:fldChar w:fldCharType="end"/>
      </w:r>
      <w:r>
        <w:t>.  In common law, where a valid notice to quit is given by one joint tenant, it has the effect of bringing the joint tenancy to an end, whether or not the other joint tenant knew of or consented to the service of the notice to quit (</w:t>
      </w:r>
      <w:r>
        <w:rPr>
          <w:i/>
        </w:rPr>
        <w:t xml:space="preserve">Hammersmith and Fulham London Borough Council v. Monk </w:t>
      </w:r>
      <w:r>
        <w:t>[1992] 1 All ER 1).</w:t>
      </w:r>
      <w:r w:rsidR="0060773C">
        <w:t xml:space="preserve"> Once a tenancy has been validly brought to an end, a former tenant remaining in the property is in law a trespasser and the landlord has a right to immediate possession.</w:t>
      </w:r>
    </w:p>
    <w:p w:rsidRPr="0017304A" w:rsidR="00111B6C" w:rsidP="00111B6C" w:rsidRDefault="009578FF">
      <w:pPr>
        <w:pStyle w:val="JuHA"/>
      </w:pPr>
      <w:r>
        <w:t>B.  </w:t>
      </w:r>
      <w:r w:rsidR="00111B6C">
        <w:t>Security of tenure under the Housing Act 1985</w:t>
      </w:r>
    </w:p>
    <w:p w:rsidR="00D74EA1" w:rsidP="004820A1" w:rsidRDefault="004820A1">
      <w:pPr>
        <w:pStyle w:val="JuPara"/>
      </w:pPr>
      <w:r>
        <w:fldChar w:fldCharType="begin"/>
      </w:r>
      <w:r>
        <w:instrText xml:space="preserve"> SEQ level0 \*arabic </w:instrText>
      </w:r>
      <w:r>
        <w:fldChar w:fldCharType="separate"/>
      </w:r>
      <w:r w:rsidR="005F2AA6">
        <w:rPr>
          <w:noProof/>
        </w:rPr>
        <w:t>20</w:t>
      </w:r>
      <w:r>
        <w:fldChar w:fldCharType="end"/>
      </w:r>
      <w:r>
        <w:t xml:space="preserve">.  By </w:t>
      </w:r>
      <w:r w:rsidR="00D74EA1">
        <w:t>s</w:t>
      </w:r>
      <w:r w:rsidRPr="00536855">
        <w:t>ection 82 o</w:t>
      </w:r>
      <w:r>
        <w:t>f the Housing Act 1985, a secure tenant of a local authority or other public authority</w:t>
      </w:r>
      <w:r w:rsidR="00D74EA1">
        <w:t>, such as the applicant,</w:t>
      </w:r>
      <w:r>
        <w:t xml:space="preserve"> has security of tenure. </w:t>
      </w:r>
      <w:r w:rsidR="00D74EA1">
        <w:t>Under section 84(1) of the Act, a court shall not make an order for possession of a dwelling house let under a secure tenancy except on one or more of the grounds set out in Schedule 2 to the Act. Ground 2(a) of Schedule 2 gives a ground of possession where a couple live in a dwelling-house, one or both is a tenant, one partner has left because of violence or threats of violence by the other, and the court is satisfied that that partner who has left is unlikely to return. Section 84(2) provides that the court shall not make an order for possession on one of these grounds “unless it considers it reasonable to make an order”.</w:t>
      </w:r>
    </w:p>
    <w:p w:rsidR="005B7CF9" w:rsidP="005B7CF9" w:rsidRDefault="009578FF">
      <w:pPr>
        <w:pStyle w:val="JuHA"/>
      </w:pPr>
      <w:r>
        <w:t>C.  </w:t>
      </w:r>
      <w:r w:rsidR="005B7CF9">
        <w:t>The local authority</w:t>
      </w:r>
      <w:r w:rsidR="005F2AA6">
        <w:t>’</w:t>
      </w:r>
      <w:r w:rsidR="005B7CF9">
        <w:t>s domestic violence housing policy</w:t>
      </w:r>
    </w:p>
    <w:p w:rsidR="00F737E3" w:rsidP="00597D92" w:rsidRDefault="005B7CF9">
      <w:pPr>
        <w:pStyle w:val="JuPara"/>
      </w:pPr>
      <w:r>
        <w:fldChar w:fldCharType="begin"/>
      </w:r>
      <w:r>
        <w:instrText xml:space="preserve"> SEQ level0 \*arabic </w:instrText>
      </w:r>
      <w:r>
        <w:fldChar w:fldCharType="separate"/>
      </w:r>
      <w:r w:rsidR="005F2AA6">
        <w:rPr>
          <w:noProof/>
        </w:rPr>
        <w:t>21</w:t>
      </w:r>
      <w:r>
        <w:fldChar w:fldCharType="end"/>
      </w:r>
      <w:r>
        <w:t>.  According to Birmingham City Council</w:t>
      </w:r>
      <w:r w:rsidR="005F2AA6">
        <w:t>’</w:t>
      </w:r>
      <w:r>
        <w:t>s Allocations Policy Manual</w:t>
      </w:r>
    </w:p>
    <w:p w:rsidR="00597D92" w:rsidP="00597D92" w:rsidRDefault="00597D92">
      <w:pPr>
        <w:pStyle w:val="JuPara"/>
      </w:pPr>
      <w:r>
        <w:t>(§ 30.8):</w:t>
      </w:r>
    </w:p>
    <w:p w:rsidR="00597D92" w:rsidP="00597D92" w:rsidRDefault="00597D92">
      <w:pPr>
        <w:pStyle w:val="JuQuot"/>
      </w:pPr>
      <w:r>
        <w:t>“1.</w:t>
      </w:r>
      <w:r w:rsidR="005C3509">
        <w:t>  </w:t>
      </w:r>
      <w:r>
        <w:t xml:space="preserve">Where a relationship has broken down the tenant who is leaving the property </w:t>
      </w:r>
      <w:r w:rsidRPr="004D4D20">
        <w:rPr>
          <w:i/>
        </w:rPr>
        <w:t>must</w:t>
      </w:r>
      <w:r>
        <w:t xml:space="preserve"> be asked to sign a relinquishing form. This has the effect of closing the </w:t>
      </w:r>
      <w:r w:rsidR="005F2AA6">
        <w:t>‘</w:t>
      </w:r>
      <w:r>
        <w:t>whole</w:t>
      </w:r>
      <w:r w:rsidR="005F2AA6">
        <w:t>’</w:t>
      </w:r>
      <w:r>
        <w:t xml:space="preserve"> tenancy.</w:t>
      </w:r>
    </w:p>
    <w:p w:rsidR="00597D92" w:rsidP="00597D92" w:rsidRDefault="00597D92">
      <w:pPr>
        <w:pStyle w:val="JuQuot"/>
      </w:pPr>
      <w:r>
        <w:t>2.</w:t>
      </w:r>
      <w:r w:rsidR="005C3509">
        <w:t>  </w:t>
      </w:r>
      <w:r>
        <w:t>If the property remains suitable for the family left, [a new] tenancy can be granted.</w:t>
      </w:r>
    </w:p>
    <w:p w:rsidR="00F737E3" w:rsidP="00597D92" w:rsidRDefault="00597D92">
      <w:pPr>
        <w:pStyle w:val="JuQuot"/>
      </w:pPr>
      <w:r>
        <w:t>3.</w:t>
      </w:r>
      <w:r w:rsidR="005C3509">
        <w:t>  </w:t>
      </w:r>
      <w:r>
        <w:t>If the property is not suitable (e</w:t>
      </w:r>
      <w:r w:rsidR="00ED027A">
        <w:t>.</w:t>
      </w:r>
      <w:r>
        <w:t xml:space="preserve">g. too large), the tenant should be offered alternative accommodation </w:t>
      </w:r>
      <w:r w:rsidR="00776D6F">
        <w:t>...</w:t>
      </w:r>
      <w:r w:rsidR="00ED027A">
        <w:t>”</w:t>
      </w:r>
    </w:p>
    <w:p w:rsidR="00597D92" w:rsidP="00597D92" w:rsidRDefault="00597D92">
      <w:pPr>
        <w:pStyle w:val="JuPara"/>
      </w:pPr>
      <w:r>
        <w:t>However, where there has been domestic violence</w:t>
      </w:r>
      <w:r w:rsidR="00EF53ED">
        <w:t>,</w:t>
      </w:r>
      <w:r>
        <w:t xml:space="preserve"> the Allocations Policy provides (§ 3.7.1):</w:t>
      </w:r>
    </w:p>
    <w:p w:rsidR="00965FAA" w:rsidP="00597D92" w:rsidRDefault="00597D92">
      <w:pPr>
        <w:pStyle w:val="JuQuot"/>
      </w:pPr>
      <w:r>
        <w:t>“Domestic violence is i</w:t>
      </w:r>
      <w:r w:rsidRPr="005B7CF9">
        <w:t>ncluded</w:t>
      </w:r>
      <w:r>
        <w:t xml:space="preserve"> in the Department</w:t>
      </w:r>
      <w:r w:rsidR="005F2AA6">
        <w:t>’</w:t>
      </w:r>
      <w:r>
        <w:t xml:space="preserve">s revised Conditions of Tenancy as a breach of the </w:t>
      </w:r>
      <w:r w:rsidR="00ED027A">
        <w:t>t</w:t>
      </w:r>
      <w:r>
        <w:t>enancy agreement. Action will be taken [against those] who have been found to have subjected another person to domestic violence. This could include perpetrators losing their home or being classed as intentionally homeless.”</w:t>
      </w:r>
    </w:p>
    <w:p w:rsidR="00F737E3" w:rsidP="00965FAA" w:rsidRDefault="00965FAA">
      <w:pPr>
        <w:pStyle w:val="JuPara"/>
      </w:pPr>
      <w:r>
        <w:t xml:space="preserve">It would be open to a person who has been made homeless following an allegation of domestic violence to challenge the truth of the allegation and claim that he has been made unintentionally homeless and that the local authority </w:t>
      </w:r>
      <w:r w:rsidR="00ED027A">
        <w:t>has</w:t>
      </w:r>
      <w:r>
        <w:t xml:space="preserve"> a statutory duty to rehouse him.</w:t>
      </w:r>
    </w:p>
    <w:p w:rsidRPr="00D40EB7" w:rsidR="00D40EB7" w:rsidP="00D40EB7" w:rsidRDefault="005B7CF9">
      <w:pPr>
        <w:pStyle w:val="JuHA"/>
        <w:rPr>
          <w:i/>
        </w:rPr>
      </w:pPr>
      <w:r>
        <w:t>D</w:t>
      </w:r>
      <w:r w:rsidR="00D40EB7">
        <w:t>.</w:t>
      </w:r>
      <w:r w:rsidR="009578FF">
        <w:t>  </w:t>
      </w:r>
      <w:r w:rsidR="00D40EB7">
        <w:t>The House of Lords</w:t>
      </w:r>
      <w:r w:rsidR="005F2AA6">
        <w:t>’</w:t>
      </w:r>
      <w:r w:rsidR="00D40EB7">
        <w:t xml:space="preserve"> judgment in </w:t>
      </w:r>
      <w:proofErr w:type="spellStart"/>
      <w:r w:rsidR="00D40EB7">
        <w:rPr>
          <w:i/>
        </w:rPr>
        <w:t>Qazi</w:t>
      </w:r>
      <w:proofErr w:type="spellEnd"/>
    </w:p>
    <w:p w:rsidR="00F737E3" w:rsidP="00550ACA" w:rsidRDefault="002354E4">
      <w:pPr>
        <w:pStyle w:val="JuPara"/>
        <w:rPr>
          <w:szCs w:val="24"/>
        </w:rPr>
      </w:pPr>
      <w:r w:rsidRPr="002354E4">
        <w:fldChar w:fldCharType="begin"/>
      </w:r>
      <w:r w:rsidRPr="002354E4">
        <w:instrText xml:space="preserve"> SEQ level0 \*arabic </w:instrText>
      </w:r>
      <w:r w:rsidRPr="002354E4">
        <w:fldChar w:fldCharType="separate"/>
      </w:r>
      <w:r w:rsidR="005F2AA6">
        <w:rPr>
          <w:noProof/>
        </w:rPr>
        <w:t>22</w:t>
      </w:r>
      <w:r w:rsidRPr="002354E4">
        <w:fldChar w:fldCharType="end"/>
      </w:r>
      <w:r w:rsidRPr="002354E4" w:rsidR="00CD49A7">
        <w:t>.  </w:t>
      </w:r>
      <w:r w:rsidRPr="00536855" w:rsidR="00550ACA">
        <w:rPr>
          <w:i/>
        </w:rPr>
        <w:t>London Borough of Harrow</w:t>
      </w:r>
      <w:r w:rsidR="00EF6CAC">
        <w:rPr>
          <w:i/>
        </w:rPr>
        <w:t xml:space="preserve"> v. </w:t>
      </w:r>
      <w:proofErr w:type="spellStart"/>
      <w:r w:rsidR="00EF6CAC">
        <w:rPr>
          <w:i/>
        </w:rPr>
        <w:t>Qazi</w:t>
      </w:r>
      <w:proofErr w:type="spellEnd"/>
      <w:r w:rsidR="00550ACA">
        <w:t xml:space="preserve"> [2003] UKHL 43</w:t>
      </w:r>
      <w:r w:rsidR="00150D0E">
        <w:t xml:space="preserve"> </w:t>
      </w:r>
      <w:r w:rsidRPr="00772EDB" w:rsidR="00550ACA">
        <w:rPr>
          <w:szCs w:val="24"/>
        </w:rPr>
        <w:t>similarly concerned the making of a possession order in respect of a council house held under a joint tenancy of a husband and wife</w:t>
      </w:r>
      <w:r w:rsidR="00540058">
        <w:rPr>
          <w:szCs w:val="24"/>
        </w:rPr>
        <w:t xml:space="preserve">. The marriage broke down and the joint tenancy came to an end when Mrs </w:t>
      </w:r>
      <w:proofErr w:type="spellStart"/>
      <w:r w:rsidR="00540058">
        <w:rPr>
          <w:szCs w:val="24"/>
        </w:rPr>
        <w:t>Qazi</w:t>
      </w:r>
      <w:proofErr w:type="spellEnd"/>
      <w:r w:rsidR="00540058">
        <w:rPr>
          <w:szCs w:val="24"/>
        </w:rPr>
        <w:t xml:space="preserve"> served a notice to quit.</w:t>
      </w:r>
      <w:r w:rsidR="00F737E3">
        <w:rPr>
          <w:szCs w:val="24"/>
        </w:rPr>
        <w:t xml:space="preserve"> </w:t>
      </w:r>
      <w:r w:rsidR="00540058">
        <w:rPr>
          <w:szCs w:val="24"/>
        </w:rPr>
        <w:t xml:space="preserve">Mr </w:t>
      </w:r>
      <w:proofErr w:type="spellStart"/>
      <w:r w:rsidR="00540058">
        <w:rPr>
          <w:szCs w:val="24"/>
        </w:rPr>
        <w:t>Qazi</w:t>
      </w:r>
      <w:proofErr w:type="spellEnd"/>
      <w:r w:rsidR="00540058">
        <w:rPr>
          <w:szCs w:val="24"/>
        </w:rPr>
        <w:t xml:space="preserve"> was refused a sole tenancy by the local authority, but he nonetheless remained in occupation with his new family, and sought to resist possession proceedings </w:t>
      </w:r>
      <w:r w:rsidR="000B6AA6">
        <w:rPr>
          <w:szCs w:val="24"/>
        </w:rPr>
        <w:t>on the ground that they constituted an interference with the right to respect for his home under Article 8 of the Convention</w:t>
      </w:r>
      <w:r w:rsidR="00540058">
        <w:rPr>
          <w:szCs w:val="24"/>
        </w:rPr>
        <w:t>.</w:t>
      </w:r>
    </w:p>
    <w:p w:rsidRPr="00E21307" w:rsidR="00E21307" w:rsidP="00550ACA" w:rsidRDefault="00276407">
      <w:pPr>
        <w:pStyle w:val="JuPara"/>
        <w:rPr>
          <w:szCs w:val="24"/>
        </w:rPr>
      </w:pPr>
      <w:r>
        <w:rPr>
          <w:szCs w:val="24"/>
        </w:rPr>
        <w:fldChar w:fldCharType="begin"/>
      </w:r>
      <w:r>
        <w:rPr>
          <w:szCs w:val="24"/>
        </w:rPr>
        <w:instrText xml:space="preserve"> SEQ level0 \*arabic </w:instrText>
      </w:r>
      <w:r>
        <w:rPr>
          <w:szCs w:val="24"/>
        </w:rPr>
        <w:fldChar w:fldCharType="separate"/>
      </w:r>
      <w:r w:rsidR="005F2AA6">
        <w:rPr>
          <w:noProof/>
          <w:szCs w:val="24"/>
        </w:rPr>
        <w:t>23</w:t>
      </w:r>
      <w:r>
        <w:rPr>
          <w:szCs w:val="24"/>
        </w:rPr>
        <w:fldChar w:fldCharType="end"/>
      </w:r>
      <w:r>
        <w:rPr>
          <w:szCs w:val="24"/>
        </w:rPr>
        <w:t>.  </w:t>
      </w:r>
      <w:r w:rsidR="00550ACA">
        <w:rPr>
          <w:szCs w:val="24"/>
        </w:rPr>
        <w:t>The House of Lords were unanimous in holding that</w:t>
      </w:r>
      <w:r w:rsidR="004653B8">
        <w:rPr>
          <w:szCs w:val="24"/>
        </w:rPr>
        <w:t>, despite the fact that the tenancy had come to an end,</w:t>
      </w:r>
      <w:r w:rsidR="000B6AA6">
        <w:rPr>
          <w:szCs w:val="24"/>
        </w:rPr>
        <w:t xml:space="preserve"> </w:t>
      </w:r>
      <w:r w:rsidR="00550ACA">
        <w:rPr>
          <w:szCs w:val="24"/>
        </w:rPr>
        <w:t xml:space="preserve">the </w:t>
      </w:r>
      <w:r w:rsidR="000B6AA6">
        <w:rPr>
          <w:szCs w:val="24"/>
        </w:rPr>
        <w:t xml:space="preserve">property continued to be Mr </w:t>
      </w:r>
      <w:proofErr w:type="spellStart"/>
      <w:r w:rsidR="000B6AA6">
        <w:rPr>
          <w:szCs w:val="24"/>
        </w:rPr>
        <w:t>Qazi</w:t>
      </w:r>
      <w:r w:rsidR="005F2AA6">
        <w:rPr>
          <w:szCs w:val="24"/>
        </w:rPr>
        <w:t>’</w:t>
      </w:r>
      <w:r w:rsidR="000B6AA6">
        <w:rPr>
          <w:szCs w:val="24"/>
        </w:rPr>
        <w:t>s</w:t>
      </w:r>
      <w:proofErr w:type="spellEnd"/>
      <w:r w:rsidR="000B6AA6">
        <w:rPr>
          <w:szCs w:val="24"/>
        </w:rPr>
        <w:t xml:space="preserve"> home and </w:t>
      </w:r>
      <w:r w:rsidR="00550ACA">
        <w:rPr>
          <w:szCs w:val="24"/>
        </w:rPr>
        <w:t>Article</w:t>
      </w:r>
      <w:r w:rsidR="00821004">
        <w:rPr>
          <w:szCs w:val="24"/>
        </w:rPr>
        <w:t xml:space="preserve"> </w:t>
      </w:r>
      <w:r w:rsidR="00550ACA">
        <w:rPr>
          <w:szCs w:val="24"/>
        </w:rPr>
        <w:t xml:space="preserve">8 was </w:t>
      </w:r>
      <w:r w:rsidR="000B6AA6">
        <w:rPr>
          <w:szCs w:val="24"/>
        </w:rPr>
        <w:t xml:space="preserve">therefore </w:t>
      </w:r>
      <w:r w:rsidR="00550ACA">
        <w:rPr>
          <w:szCs w:val="24"/>
        </w:rPr>
        <w:t xml:space="preserve">engaged. </w:t>
      </w:r>
      <w:r>
        <w:rPr>
          <w:szCs w:val="24"/>
        </w:rPr>
        <w:t>However, the</w:t>
      </w:r>
      <w:r w:rsidR="00550ACA">
        <w:rPr>
          <w:szCs w:val="24"/>
        </w:rPr>
        <w:t xml:space="preserve"> majority (Lords</w:t>
      </w:r>
      <w:r w:rsidR="00A82E90">
        <w:rPr>
          <w:szCs w:val="24"/>
        </w:rPr>
        <w:t> </w:t>
      </w:r>
      <w:r w:rsidR="00550ACA">
        <w:rPr>
          <w:szCs w:val="24"/>
        </w:rPr>
        <w:t xml:space="preserve">Hope of </w:t>
      </w:r>
      <w:proofErr w:type="spellStart"/>
      <w:r w:rsidR="00550ACA">
        <w:rPr>
          <w:szCs w:val="24"/>
        </w:rPr>
        <w:t>Craighead</w:t>
      </w:r>
      <w:proofErr w:type="spellEnd"/>
      <w:r w:rsidR="00550ACA">
        <w:rPr>
          <w:szCs w:val="24"/>
        </w:rPr>
        <w:t xml:space="preserve">, Millett and Scott of </w:t>
      </w:r>
      <w:proofErr w:type="spellStart"/>
      <w:r w:rsidR="00550ACA">
        <w:rPr>
          <w:szCs w:val="24"/>
        </w:rPr>
        <w:t>Foscote</w:t>
      </w:r>
      <w:proofErr w:type="spellEnd"/>
      <w:r w:rsidR="00550ACA">
        <w:rPr>
          <w:szCs w:val="24"/>
        </w:rPr>
        <w:t xml:space="preserve">) held that </w:t>
      </w:r>
      <w:r>
        <w:rPr>
          <w:szCs w:val="24"/>
        </w:rPr>
        <w:t>Article 8 could not be relied upon to defeat the local authority</w:t>
      </w:r>
      <w:r w:rsidR="005F2AA6">
        <w:rPr>
          <w:szCs w:val="24"/>
        </w:rPr>
        <w:t>’</w:t>
      </w:r>
      <w:r>
        <w:rPr>
          <w:szCs w:val="24"/>
        </w:rPr>
        <w:t xml:space="preserve">s proprietary or contractual rights to possession. Since the local authority had an unqualified right to immediate possession, there was no infringement of Mr </w:t>
      </w:r>
      <w:proofErr w:type="spellStart"/>
      <w:r>
        <w:rPr>
          <w:szCs w:val="24"/>
        </w:rPr>
        <w:t>Qazi</w:t>
      </w:r>
      <w:r w:rsidR="005F2AA6">
        <w:rPr>
          <w:szCs w:val="24"/>
        </w:rPr>
        <w:t>’</w:t>
      </w:r>
      <w:r>
        <w:rPr>
          <w:szCs w:val="24"/>
        </w:rPr>
        <w:t>s</w:t>
      </w:r>
      <w:proofErr w:type="spellEnd"/>
      <w:r>
        <w:rPr>
          <w:szCs w:val="24"/>
        </w:rPr>
        <w:t xml:space="preserve"> right to respect for </w:t>
      </w:r>
      <w:r w:rsidR="00860C62">
        <w:rPr>
          <w:szCs w:val="24"/>
        </w:rPr>
        <w:t>his</w:t>
      </w:r>
      <w:r>
        <w:rPr>
          <w:szCs w:val="24"/>
        </w:rPr>
        <w:t xml:space="preserve"> home under Article 8 § 1 and so no issue arose under Article</w:t>
      </w:r>
      <w:r w:rsidR="00821004">
        <w:rPr>
          <w:szCs w:val="24"/>
        </w:rPr>
        <w:t> </w:t>
      </w:r>
      <w:r>
        <w:rPr>
          <w:szCs w:val="24"/>
        </w:rPr>
        <w:t xml:space="preserve">8 § 2 as to justification. </w:t>
      </w:r>
      <w:r w:rsidR="004653B8">
        <w:rPr>
          <w:szCs w:val="24"/>
        </w:rPr>
        <w:t>Alternatively, the effect of the authority</w:t>
      </w:r>
      <w:r w:rsidR="005F2AA6">
        <w:rPr>
          <w:szCs w:val="24"/>
        </w:rPr>
        <w:t>’</w:t>
      </w:r>
      <w:r w:rsidR="004653B8">
        <w:rPr>
          <w:szCs w:val="24"/>
        </w:rPr>
        <w:t>s proprietary or contractual rights was that any assessment under Article 8 § 2 would inevitably be determined in the local authority</w:t>
      </w:r>
      <w:r w:rsidR="005F2AA6">
        <w:rPr>
          <w:szCs w:val="24"/>
        </w:rPr>
        <w:t>’</w:t>
      </w:r>
      <w:r w:rsidR="004653B8">
        <w:rPr>
          <w:szCs w:val="24"/>
        </w:rPr>
        <w:t>s favour.</w:t>
      </w:r>
      <w:r w:rsidR="00940C2D">
        <w:rPr>
          <w:szCs w:val="24"/>
        </w:rPr>
        <w:t xml:space="preserve"> The majority variously referred to a number of decisions of the Commission in which similar complaints, regarding the eviction of a former joint tenant from local</w:t>
      </w:r>
      <w:r w:rsidR="00C463CE">
        <w:rPr>
          <w:szCs w:val="24"/>
        </w:rPr>
        <w:noBreakHyphen/>
      </w:r>
      <w:r w:rsidR="00940C2D">
        <w:rPr>
          <w:szCs w:val="24"/>
        </w:rPr>
        <w:t>authority property after the joint tenancy had come to an end, had been declared manifestly ill-founded (</w:t>
      </w:r>
      <w:r w:rsidR="00821004">
        <w:rPr>
          <w:szCs w:val="24"/>
        </w:rPr>
        <w:t xml:space="preserve">see </w:t>
      </w:r>
      <w:r w:rsidR="00940C2D">
        <w:rPr>
          <w:i/>
          <w:szCs w:val="24"/>
        </w:rPr>
        <w:t>S. v. the United Kingdom</w:t>
      </w:r>
      <w:r w:rsidR="00940C2D">
        <w:rPr>
          <w:szCs w:val="24"/>
        </w:rPr>
        <w:t>, no.</w:t>
      </w:r>
      <w:r w:rsidR="00182D67">
        <w:rPr>
          <w:szCs w:val="24"/>
        </w:rPr>
        <w:t> </w:t>
      </w:r>
      <w:r w:rsidR="00940C2D">
        <w:rPr>
          <w:szCs w:val="24"/>
        </w:rPr>
        <w:t xml:space="preserve">11716/85, Commission decision of 14 May 1986, Decisions and Reports </w:t>
      </w:r>
      <w:r w:rsidR="0082026A">
        <w:rPr>
          <w:szCs w:val="24"/>
        </w:rPr>
        <w:t xml:space="preserve">(DR) </w:t>
      </w:r>
      <w:r w:rsidR="00940C2D">
        <w:rPr>
          <w:szCs w:val="24"/>
        </w:rPr>
        <w:t>47, p. 274;</w:t>
      </w:r>
      <w:r w:rsidR="0082026A">
        <w:rPr>
          <w:szCs w:val="24"/>
        </w:rPr>
        <w:t xml:space="preserve"> </w:t>
      </w:r>
      <w:r w:rsidR="0082026A">
        <w:rPr>
          <w:i/>
          <w:szCs w:val="24"/>
        </w:rPr>
        <w:t>D.P. v. the United Kingdom</w:t>
      </w:r>
      <w:r w:rsidR="0082026A">
        <w:rPr>
          <w:szCs w:val="24"/>
        </w:rPr>
        <w:t>, no. 11949/86, Commission decision of 1</w:t>
      </w:r>
      <w:r w:rsidR="00821004">
        <w:rPr>
          <w:szCs w:val="24"/>
        </w:rPr>
        <w:t xml:space="preserve"> </w:t>
      </w:r>
      <w:r w:rsidR="0082026A">
        <w:rPr>
          <w:szCs w:val="24"/>
        </w:rPr>
        <w:t xml:space="preserve">December 1986, DR 51, p. 195; </w:t>
      </w:r>
      <w:proofErr w:type="spellStart"/>
      <w:r w:rsidR="00940C2D">
        <w:rPr>
          <w:i/>
          <w:szCs w:val="24"/>
        </w:rPr>
        <w:t>Ure</w:t>
      </w:r>
      <w:proofErr w:type="spellEnd"/>
      <w:r w:rsidR="00940C2D">
        <w:rPr>
          <w:i/>
          <w:szCs w:val="24"/>
        </w:rPr>
        <w:t xml:space="preserve"> v. the </w:t>
      </w:r>
      <w:smartTag w:uri="urn:schemas-microsoft-com:office:smarttags" w:element="place">
        <w:smartTag w:uri="urn:schemas-microsoft-com:office:smarttags" w:element="country-region">
          <w:r w:rsidR="00940C2D">
            <w:rPr>
              <w:i/>
              <w:szCs w:val="24"/>
            </w:rPr>
            <w:t>United Kingdom</w:t>
          </w:r>
        </w:smartTag>
      </w:smartTag>
      <w:r w:rsidR="00940C2D">
        <w:rPr>
          <w:szCs w:val="24"/>
        </w:rPr>
        <w:t>, no. 28027/95, Commission decision of 27 November 1996</w:t>
      </w:r>
      <w:r w:rsidR="0009368E">
        <w:rPr>
          <w:szCs w:val="24"/>
        </w:rPr>
        <w:t>, unreported</w:t>
      </w:r>
      <w:r w:rsidR="00940C2D">
        <w:rPr>
          <w:szCs w:val="24"/>
        </w:rPr>
        <w:t xml:space="preserve">; </w:t>
      </w:r>
      <w:r w:rsidR="001D7D14">
        <w:rPr>
          <w:szCs w:val="24"/>
        </w:rPr>
        <w:t xml:space="preserve">and </w:t>
      </w:r>
      <w:r w:rsidR="00E21307">
        <w:rPr>
          <w:i/>
          <w:szCs w:val="24"/>
        </w:rPr>
        <w:t>Wood v. the United Kingdom</w:t>
      </w:r>
      <w:r w:rsidRPr="00E21307" w:rsidR="00E21307">
        <w:rPr>
          <w:szCs w:val="24"/>
        </w:rPr>
        <w:t xml:space="preserve">, </w:t>
      </w:r>
      <w:r w:rsidR="00E21307">
        <w:rPr>
          <w:szCs w:val="24"/>
        </w:rPr>
        <w:t xml:space="preserve">no. 32540/96, </w:t>
      </w:r>
      <w:r w:rsidR="003E6AEB">
        <w:rPr>
          <w:szCs w:val="24"/>
        </w:rPr>
        <w:t>Commission decision of 2 July 1997</w:t>
      </w:r>
      <w:r w:rsidR="0009368E">
        <w:rPr>
          <w:szCs w:val="24"/>
        </w:rPr>
        <w:t>, unreported</w:t>
      </w:r>
      <w:r w:rsidR="003E6AEB">
        <w:rPr>
          <w:szCs w:val="24"/>
        </w:rPr>
        <w:t>).</w:t>
      </w:r>
    </w:p>
    <w:p w:rsidR="004653B8" w:rsidP="00550ACA" w:rsidRDefault="004653B8">
      <w:pPr>
        <w:pStyle w:val="JuPara"/>
        <w:rPr>
          <w:szCs w:val="24"/>
        </w:rPr>
      </w:pPr>
      <w:r>
        <w:rPr>
          <w:szCs w:val="24"/>
        </w:rPr>
        <w:t>Lord Hope, having held that Article 8 was applicable, continued:</w:t>
      </w:r>
    </w:p>
    <w:p w:rsidR="004653B8" w:rsidP="004653B8" w:rsidRDefault="004653B8">
      <w:pPr>
        <w:pStyle w:val="JuQuot"/>
      </w:pPr>
      <w:r>
        <w:t>“</w:t>
      </w:r>
      <w:r w:rsidR="00776D6F">
        <w:t>...</w:t>
      </w:r>
      <w:r>
        <w:t xml:space="preserve"> </w:t>
      </w:r>
      <w:r w:rsidR="0009368E">
        <w:t>[I]</w:t>
      </w:r>
      <w:r>
        <w:t xml:space="preserve">n my opinion it does not follow that, on the facts of this case, there is an issue which must be decided within the domestic legal order by remitting the question whether any interference is permitted by Article 8 § 2 for decision by the </w:t>
      </w:r>
      <w:r w:rsidR="001D7D14">
        <w:t>C</w:t>
      </w:r>
      <w:r>
        <w:t xml:space="preserve">ounty </w:t>
      </w:r>
      <w:r w:rsidR="001D7D14">
        <w:t>C</w:t>
      </w:r>
      <w:r>
        <w:t>ourt</w:t>
      </w:r>
      <w:r w:rsidR="00977E89">
        <w:t xml:space="preserve">. </w:t>
      </w:r>
      <w:r w:rsidR="00776D6F">
        <w:t>...</w:t>
      </w:r>
    </w:p>
    <w:p w:rsidR="00977E89" w:rsidP="004653B8" w:rsidRDefault="00977E89">
      <w:pPr>
        <w:pStyle w:val="JuQuot"/>
      </w:pPr>
      <w:r>
        <w:t>I do not say that the right to respect for the home is irrelevant. But I consider</w:t>
      </w:r>
      <w:r w:rsidR="00DD10B3">
        <w:t xml:space="preserve"> that such interference </w:t>
      </w:r>
      <w:r w:rsidR="00BC1D3B">
        <w:t>with it as flows from the application of the law which enables the public</w:t>
      </w:r>
      <w:r w:rsidR="00FA5FBC">
        <w:t>-</w:t>
      </w:r>
      <w:r w:rsidR="00BC1D3B">
        <w:t>authority landlord to exercise its unqualified right to recover possession, following service of a notice to quit which has terminated the tenancy, with a view to making the premises available for letting to others on its housing list</w:t>
      </w:r>
      <w:r w:rsidR="00E20E75">
        <w:t>,</w:t>
      </w:r>
      <w:r w:rsidR="00BC1D3B">
        <w:t xml:space="preserve"> does not violate the essence of the right to respect for the home under Article 8 § 1. That is a conclusion which can be applied now to all cases of this type generally. </w:t>
      </w:r>
      <w:r w:rsidR="00776D6F">
        <w:t>...</w:t>
      </w:r>
      <w:r w:rsidR="00BC1D3B">
        <w:t xml:space="preserve"> It follows that the question whether any interference is permitted by Article 8 § 2 does not require, in this case, to be considered by the </w:t>
      </w:r>
      <w:r w:rsidR="0009368E">
        <w:t>C</w:t>
      </w:r>
      <w:r w:rsidR="00BC1D3B">
        <w:t xml:space="preserve">ounty </w:t>
      </w:r>
      <w:r w:rsidR="0009368E">
        <w:t>C</w:t>
      </w:r>
      <w:r w:rsidR="00BC1D3B">
        <w:t>ourt.”</w:t>
      </w:r>
    </w:p>
    <w:p w:rsidR="0053681C" w:rsidP="0053681C" w:rsidRDefault="0053681C">
      <w:pPr>
        <w:pStyle w:val="JuPara"/>
      </w:pPr>
      <w:r>
        <w:t>Lord Millett similarly held that:</w:t>
      </w:r>
    </w:p>
    <w:p w:rsidR="0053681C" w:rsidP="0053681C" w:rsidRDefault="0053681C">
      <w:pPr>
        <w:pStyle w:val="JuQuot"/>
      </w:pPr>
      <w:r>
        <w:t>“</w:t>
      </w:r>
      <w:r w:rsidR="00776D6F">
        <w:t>...</w:t>
      </w:r>
      <w:r>
        <w:t xml:space="preserve"> In my opinion Article 8 is not ordinarily infringed by enforcing the terms on which the applicant occupies premises as his home. Article 8 § 1 does not give a right to a home, but only to </w:t>
      </w:r>
      <w:r w:rsidR="005F2AA6">
        <w:t>‘</w:t>
      </w:r>
      <w:r>
        <w:t>respect</w:t>
      </w:r>
      <w:r w:rsidR="005F2AA6">
        <w:t>’</w:t>
      </w:r>
      <w:r>
        <w:t xml:space="preserve"> for the home.”</w:t>
      </w:r>
    </w:p>
    <w:p w:rsidR="0053681C" w:rsidP="0053681C" w:rsidRDefault="0053681C">
      <w:pPr>
        <w:pStyle w:val="JuPara"/>
      </w:pPr>
      <w:r>
        <w:t>As regards the balancing exercise envisaged by Article 8 § 2 he stated:</w:t>
      </w:r>
    </w:p>
    <w:p w:rsidR="002F68FD" w:rsidP="004653B8" w:rsidRDefault="0053681C">
      <w:pPr>
        <w:pStyle w:val="JuQuot"/>
      </w:pPr>
      <w:r>
        <w:t>“</w:t>
      </w:r>
      <w:r w:rsidR="00776D6F">
        <w:t>...</w:t>
      </w:r>
      <w:r>
        <w:t xml:space="preserve"> </w:t>
      </w:r>
      <w:r w:rsidR="0009368E">
        <w:t>[N]</w:t>
      </w:r>
      <w:r>
        <w:t xml:space="preserve">o such balancing exercise need be conducted when its </w:t>
      </w:r>
      <w:r w:rsidR="002F68FD">
        <w:t xml:space="preserve">outcome is a foregone conclusion. In the present case </w:t>
      </w:r>
      <w:r w:rsidR="00776D6F">
        <w:t>...</w:t>
      </w:r>
      <w:r w:rsidR="002F68FD">
        <w:t xml:space="preserve"> the local authority had an immediate right to possession. The premises were Mr </w:t>
      </w:r>
      <w:proofErr w:type="spellStart"/>
      <w:r w:rsidR="002F68FD">
        <w:t>Qazi</w:t>
      </w:r>
      <w:r w:rsidR="005F2AA6">
        <w:t>’</w:t>
      </w:r>
      <w:r w:rsidR="002F68FD">
        <w:t>s</w:t>
      </w:r>
      <w:proofErr w:type="spellEnd"/>
      <w:r w:rsidR="002F68FD">
        <w:t xml:space="preserve"> home, and evicting him would obviously amount to an interference with his enjoyment of the premises as his home. But his right to occupy them as such was circumscribed by the terms of his tenancy and had come to an end. Eviction was plainly necessary to protect the rights of the local authority as landowner. Its obligation to </w:t>
      </w:r>
      <w:r w:rsidR="005F2AA6">
        <w:t>‘</w:t>
      </w:r>
      <w:r w:rsidR="002F68FD">
        <w:t>respect</w:t>
      </w:r>
      <w:r w:rsidR="005F2AA6">
        <w:t>’</w:t>
      </w:r>
      <w:r w:rsidR="002F68FD">
        <w:t xml:space="preserve"> for Mr </w:t>
      </w:r>
      <w:proofErr w:type="spellStart"/>
      <w:r w:rsidR="002F68FD">
        <w:t>Qazi</w:t>
      </w:r>
      <w:r w:rsidR="005F2AA6">
        <w:t>’</w:t>
      </w:r>
      <w:r w:rsidR="002F68FD">
        <w:t>s</w:t>
      </w:r>
      <w:proofErr w:type="spellEnd"/>
      <w:r w:rsidR="002F68FD">
        <w:t xml:space="preserve"> home was not infringed by its requirement that he vacate the premises at the expiry of the period during which it had agreed that he might occupy them. There was simply no balance to be struck. </w:t>
      </w:r>
      <w:r w:rsidR="00776D6F">
        <w:t>...</w:t>
      </w:r>
      <w:r w:rsidR="00A61C39">
        <w:t>”</w:t>
      </w:r>
    </w:p>
    <w:p w:rsidR="00B251CA" w:rsidP="002F68FD" w:rsidRDefault="00B251CA">
      <w:pPr>
        <w:pStyle w:val="JuPara"/>
      </w:pPr>
      <w:r>
        <w:t>Lord Scott concurred with Lords Hope and Millett, although on somewhat different grounds:</w:t>
      </w:r>
    </w:p>
    <w:p w:rsidR="00BC1D3B" w:rsidP="00B251CA" w:rsidRDefault="00B251CA">
      <w:pPr>
        <w:pStyle w:val="JuQuot"/>
      </w:pPr>
      <w:r>
        <w:t xml:space="preserve">“In my opinion, the Court of Appeal, having correctly held that Mr </w:t>
      </w:r>
      <w:proofErr w:type="spellStart"/>
      <w:r>
        <w:t>Qazi</w:t>
      </w:r>
      <w:proofErr w:type="spellEnd"/>
      <w:r>
        <w:t xml:space="preserve"> had an Article 8 </w:t>
      </w:r>
      <w:r w:rsidR="005F2AA6">
        <w:t>‘</w:t>
      </w:r>
      <w:r>
        <w:t>home</w:t>
      </w:r>
      <w:r w:rsidR="005F2AA6">
        <w:t>’</w:t>
      </w:r>
      <w:r>
        <w:t xml:space="preserve">, should have held that his rights under Article 8 could not prevail against the </w:t>
      </w:r>
      <w:r w:rsidR="0009368E">
        <w:t>C</w:t>
      </w:r>
      <w:r>
        <w:t>ouncil</w:t>
      </w:r>
      <w:r w:rsidR="005F2AA6">
        <w:t>’</w:t>
      </w:r>
      <w:r>
        <w:t xml:space="preserve">s admitted and undoubted right to possession under the ordinary housing law. I would, for my part, have said that Article 8 was not, in these circumstances, applicable. But it could also be said that a possession order was </w:t>
      </w:r>
      <w:r w:rsidR="005F2AA6">
        <w:t>‘</w:t>
      </w:r>
      <w:r w:rsidR="00957018">
        <w:t>in accordance with the law</w:t>
      </w:r>
      <w:r w:rsidR="005F2AA6">
        <w:t>’</w:t>
      </w:r>
      <w:r>
        <w:t xml:space="preserve"> and was necessary in order to protect and give effect to the </w:t>
      </w:r>
      <w:r w:rsidR="0009368E">
        <w:t>C</w:t>
      </w:r>
      <w:r>
        <w:t>ouncil</w:t>
      </w:r>
      <w:r w:rsidR="005F2AA6">
        <w:t>’</w:t>
      </w:r>
      <w:r>
        <w:t xml:space="preserve">s right to possession. </w:t>
      </w:r>
      <w:r w:rsidR="00776D6F">
        <w:t>...</w:t>
      </w:r>
      <w:r>
        <w:t xml:space="preserve"> But it comes to the same thing. Article 8 cannot be raised</w:t>
      </w:r>
      <w:r w:rsidR="00F737E3">
        <w:t xml:space="preserve"> </w:t>
      </w:r>
      <w:r>
        <w:t>to defeat contractual and proprietary rights to possession.”</w:t>
      </w:r>
    </w:p>
    <w:p w:rsidR="00F737E3" w:rsidP="00A61C39" w:rsidRDefault="00A61C39">
      <w:pPr>
        <w:pStyle w:val="JuPara"/>
      </w:pPr>
      <w:r>
        <w:fldChar w:fldCharType="begin"/>
      </w:r>
      <w:r>
        <w:instrText xml:space="preserve"> SEQ level0 \*arabic </w:instrText>
      </w:r>
      <w:r>
        <w:fldChar w:fldCharType="separate"/>
      </w:r>
      <w:r w:rsidR="005F2AA6">
        <w:rPr>
          <w:noProof/>
        </w:rPr>
        <w:t>24</w:t>
      </w:r>
      <w:r>
        <w:fldChar w:fldCharType="end"/>
      </w:r>
      <w:r>
        <w:t xml:space="preserve">.  As to the question of remedies in exceptional cases, Lord Hope referred (in paragraph 79 of the judgment) to </w:t>
      </w:r>
      <w:r>
        <w:rPr>
          <w:i/>
          <w:szCs w:val="24"/>
        </w:rPr>
        <w:t xml:space="preserve">Sheffield City Council v. Smart </w:t>
      </w:r>
      <w:r>
        <w:rPr>
          <w:szCs w:val="24"/>
        </w:rPr>
        <w:t xml:space="preserve">[2002] EWCA </w:t>
      </w:r>
      <w:proofErr w:type="spellStart"/>
      <w:r>
        <w:rPr>
          <w:szCs w:val="24"/>
        </w:rPr>
        <w:t>Civ</w:t>
      </w:r>
      <w:proofErr w:type="spellEnd"/>
      <w:r>
        <w:rPr>
          <w:szCs w:val="24"/>
        </w:rPr>
        <w:t xml:space="preserve"> 4, where the Court of Appeal had held, in a case where a non-secure council tenant was evicted following nuisance proceedings, that a challenge under Article 8 of the Convention </w:t>
      </w:r>
      <w:r>
        <w:t>to the local authority</w:t>
      </w:r>
      <w:r w:rsidR="005F2AA6">
        <w:t>’</w:t>
      </w:r>
      <w:r>
        <w:t>s decision to serve notice to quit could be made by judicial review within the appropriate time</w:t>
      </w:r>
      <w:r w:rsidR="00821004">
        <w:t>-</w:t>
      </w:r>
      <w:r>
        <w:t xml:space="preserve">limits. Lord Hope continued by observing that the Court of Appeal in </w:t>
      </w:r>
      <w:r>
        <w:rPr>
          <w:i/>
        </w:rPr>
        <w:t xml:space="preserve">Smart </w:t>
      </w:r>
      <w:r>
        <w:t>had further held:</w:t>
      </w:r>
    </w:p>
    <w:p w:rsidR="00A61C39" w:rsidP="00A61C39" w:rsidRDefault="00A61C39">
      <w:pPr>
        <w:pStyle w:val="JuQuot"/>
      </w:pPr>
      <w:r>
        <w:t>“</w:t>
      </w:r>
      <w:r w:rsidR="0009368E">
        <w:t xml:space="preserve">... </w:t>
      </w:r>
      <w:r>
        <w:t xml:space="preserve">that in the rare situation where something wholly exceptional happened after service of the notice to quit which fundamentally altered the rights and wrongs of the proposed eviction the judge in the </w:t>
      </w:r>
      <w:r w:rsidR="00775E8D">
        <w:t>C</w:t>
      </w:r>
      <w:r>
        <w:t xml:space="preserve">ounty </w:t>
      </w:r>
      <w:r w:rsidR="00775E8D">
        <w:t>C</w:t>
      </w:r>
      <w:r>
        <w:t xml:space="preserve">ourt who was hearing the claim for possession might be obliged to address it in deciding whether the making of a possession order could be justified </w:t>
      </w:r>
      <w:r w:rsidR="00776D6F">
        <w:t>...</w:t>
      </w:r>
      <w:r>
        <w:t xml:space="preserve"> I wish to reserve my opinion as to whether it would be open to the tenant, in a wholly exceptional case, to raise these issues in the </w:t>
      </w:r>
      <w:r w:rsidR="002D4C35">
        <w:t>C</w:t>
      </w:r>
      <w:r>
        <w:t xml:space="preserve">ounty </w:t>
      </w:r>
      <w:r w:rsidR="002D4C35">
        <w:t>C</w:t>
      </w:r>
      <w:r>
        <w:t>ourt where proceedings for possession were being taken following the service of the notice to quit by the housing authority, bearing in mind as Lord Millett points out that its decision to serve the notice to quit would be judicially reviewable in the High Court so long as the application was made within the relevant time</w:t>
      </w:r>
      <w:r w:rsidR="002D4C35">
        <w:t>-</w:t>
      </w:r>
      <w:r>
        <w:t>limit. The situation in the present case is different, as it was a notice to quit served by one of the joint tenants that terminated the tenancy</w:t>
      </w:r>
      <w:r w:rsidR="009A5A61">
        <w:t>.</w:t>
      </w:r>
      <w:r>
        <w:t>”</w:t>
      </w:r>
    </w:p>
    <w:p w:rsidRPr="00942B76" w:rsidR="00A61C39" w:rsidP="00A61C39" w:rsidRDefault="00A61C39">
      <w:pPr>
        <w:pStyle w:val="JuPara"/>
      </w:pPr>
      <w:r>
        <w:t>Lord Millett also stated:</w:t>
      </w:r>
    </w:p>
    <w:p w:rsidR="00A61C39" w:rsidP="00A61C39" w:rsidRDefault="00A61C39">
      <w:pPr>
        <w:pStyle w:val="JuQuot"/>
      </w:pPr>
      <w:r>
        <w:t>“In the exceptional case where the applicant believes that the local authority is acting unfairly or from improper or ulterior motives, he can apply to the High Court for judicial review. The availability of this remedy, coupled with the fact that an occupier cannot be evicted without a court order, so that the court can consider whether the claimant is entitled as of right to possession, is sufficient to supply the necessary and appropriate degree of respect for the applicant</w:t>
      </w:r>
      <w:r w:rsidR="005F2AA6">
        <w:t>’</w:t>
      </w:r>
      <w:r>
        <w:t>s home.”</w:t>
      </w:r>
    </w:p>
    <w:p w:rsidR="00CF0572" w:rsidP="00550ACA" w:rsidRDefault="009F66CC">
      <w:pPr>
        <w:pStyle w:val="JuPara"/>
        <w:rPr>
          <w:szCs w:val="24"/>
        </w:rPr>
      </w:pPr>
      <w:r>
        <w:rPr>
          <w:szCs w:val="24"/>
        </w:rPr>
        <w:fldChar w:fldCharType="begin"/>
      </w:r>
      <w:r>
        <w:rPr>
          <w:szCs w:val="24"/>
        </w:rPr>
        <w:instrText xml:space="preserve"> SEQ level0 \*arabic </w:instrText>
      </w:r>
      <w:r>
        <w:rPr>
          <w:szCs w:val="24"/>
        </w:rPr>
        <w:fldChar w:fldCharType="separate"/>
      </w:r>
      <w:r w:rsidR="005F2AA6">
        <w:rPr>
          <w:noProof/>
          <w:szCs w:val="24"/>
        </w:rPr>
        <w:t>25</w:t>
      </w:r>
      <w:r>
        <w:rPr>
          <w:szCs w:val="24"/>
        </w:rPr>
        <w:fldChar w:fldCharType="end"/>
      </w:r>
      <w:r>
        <w:rPr>
          <w:szCs w:val="24"/>
        </w:rPr>
        <w:t>.  </w:t>
      </w:r>
      <w:r w:rsidR="00550ACA">
        <w:rPr>
          <w:szCs w:val="24"/>
        </w:rPr>
        <w:t xml:space="preserve">The </w:t>
      </w:r>
      <w:r w:rsidR="005413B0">
        <w:rPr>
          <w:szCs w:val="24"/>
        </w:rPr>
        <w:t xml:space="preserve">dissenting </w:t>
      </w:r>
      <w:r w:rsidR="00550ACA">
        <w:rPr>
          <w:szCs w:val="24"/>
        </w:rPr>
        <w:t xml:space="preserve">minority (Lords Bingham of Cornhill and </w:t>
      </w:r>
      <w:proofErr w:type="spellStart"/>
      <w:r w:rsidR="00550ACA">
        <w:rPr>
          <w:szCs w:val="24"/>
        </w:rPr>
        <w:t>Steyn</w:t>
      </w:r>
      <w:proofErr w:type="spellEnd"/>
      <w:r w:rsidR="00550ACA">
        <w:rPr>
          <w:szCs w:val="24"/>
        </w:rPr>
        <w:t>) held that</w:t>
      </w:r>
      <w:r w:rsidR="009A5A61">
        <w:rPr>
          <w:szCs w:val="24"/>
        </w:rPr>
        <w:t>,</w:t>
      </w:r>
      <w:r w:rsidR="00550ACA">
        <w:rPr>
          <w:szCs w:val="24"/>
        </w:rPr>
        <w:t xml:space="preserve"> where </w:t>
      </w:r>
      <w:r w:rsidR="005413B0">
        <w:rPr>
          <w:szCs w:val="24"/>
        </w:rPr>
        <w:t>there was a proposed interference with a person</w:t>
      </w:r>
      <w:r w:rsidR="005F2AA6">
        <w:rPr>
          <w:szCs w:val="24"/>
        </w:rPr>
        <w:t>’</w:t>
      </w:r>
      <w:r w:rsidR="005413B0">
        <w:rPr>
          <w:szCs w:val="24"/>
        </w:rPr>
        <w:t>s right to respect for his home, the question of justification, if raised, did fall to be considered</w:t>
      </w:r>
      <w:r w:rsidR="00CF0572">
        <w:rPr>
          <w:szCs w:val="24"/>
        </w:rPr>
        <w:t xml:space="preserve"> and should</w:t>
      </w:r>
      <w:r w:rsidR="00487E99">
        <w:rPr>
          <w:szCs w:val="24"/>
        </w:rPr>
        <w:t>, in the instant case,</w:t>
      </w:r>
      <w:r w:rsidR="00CF0572">
        <w:rPr>
          <w:szCs w:val="24"/>
        </w:rPr>
        <w:t xml:space="preserve"> be remitted to the County Court</w:t>
      </w:r>
      <w:r w:rsidR="0049179F">
        <w:rPr>
          <w:szCs w:val="24"/>
        </w:rPr>
        <w:t xml:space="preserve">. Both cited with approval the following extract from the judgment of the Court of Appeal in </w:t>
      </w:r>
      <w:smartTag w:uri="urn:schemas-microsoft-com:office:smarttags" w:element="place">
        <w:smartTag w:uri="urn:schemas-microsoft-com:office:smarttags" w:element="PlaceName">
          <w:r w:rsidR="0049179F">
            <w:rPr>
              <w:i/>
              <w:szCs w:val="24"/>
            </w:rPr>
            <w:t>Sheffield</w:t>
          </w:r>
        </w:smartTag>
        <w:r w:rsidR="0049179F">
          <w:rPr>
            <w:i/>
            <w:szCs w:val="24"/>
          </w:rPr>
          <w:t xml:space="preserve"> </w:t>
        </w:r>
        <w:smartTag w:uri="urn:schemas-microsoft-com:office:smarttags" w:element="PlaceType">
          <w:r w:rsidR="0049179F">
            <w:rPr>
              <w:i/>
              <w:szCs w:val="24"/>
            </w:rPr>
            <w:t>City</w:t>
          </w:r>
        </w:smartTag>
      </w:smartTag>
      <w:r w:rsidR="0049179F">
        <w:rPr>
          <w:i/>
          <w:szCs w:val="24"/>
        </w:rPr>
        <w:t xml:space="preserve"> Council v. Smart </w:t>
      </w:r>
      <w:r w:rsidR="00A61C39">
        <w:rPr>
          <w:szCs w:val="24"/>
        </w:rPr>
        <w:t>(</w:t>
      </w:r>
      <w:r w:rsidR="002D54C8">
        <w:rPr>
          <w:szCs w:val="24"/>
        </w:rPr>
        <w:t xml:space="preserve">cited in paragraph </w:t>
      </w:r>
      <w:r w:rsidR="00B66245">
        <w:rPr>
          <w:szCs w:val="24"/>
        </w:rPr>
        <w:t>24</w:t>
      </w:r>
      <w:r w:rsidR="002D54C8">
        <w:rPr>
          <w:szCs w:val="24"/>
        </w:rPr>
        <w:t xml:space="preserve"> above)</w:t>
      </w:r>
      <w:r w:rsidR="00CF0572">
        <w:rPr>
          <w:szCs w:val="24"/>
        </w:rPr>
        <w:t>:</w:t>
      </w:r>
    </w:p>
    <w:p w:rsidR="00F737E3" w:rsidP="00CF0572" w:rsidRDefault="00CF0572">
      <w:pPr>
        <w:pStyle w:val="JuQuot"/>
      </w:pPr>
      <w:r>
        <w:t>“26.</w:t>
      </w:r>
      <w:r w:rsidR="002D4C35">
        <w:t>  </w:t>
      </w:r>
      <w:r w:rsidR="00776D6F">
        <w:t>...</w:t>
      </w:r>
      <w:r>
        <w:t xml:space="preserve"> </w:t>
      </w:r>
      <w:r w:rsidR="005F2AA6">
        <w:t>‘</w:t>
      </w:r>
      <w:r w:rsidRPr="00CF0572">
        <w:t>Home</w:t>
      </w:r>
      <w:r w:rsidR="005F2AA6">
        <w:t>’</w:t>
      </w:r>
      <w:r w:rsidRPr="00CF0572">
        <w:t xml:space="preserve"> is an autonomous concept for the purpose of ECHR</w:t>
      </w:r>
      <w:r w:rsidR="002D4C35">
        <w:t xml:space="preserve"> [the Convention]</w:t>
      </w:r>
      <w:r w:rsidRPr="00CF0572">
        <w:t xml:space="preserve">, and does not depend on any legal status as owner. Thus in these cases, the premises in Sheffield and </w:t>
      </w:r>
      <w:smartTag w:uri="urn:schemas-microsoft-com:office:smarttags" w:element="place">
        <w:r w:rsidRPr="00CF0572">
          <w:t>Sunderland</w:t>
        </w:r>
      </w:smartTag>
      <w:r w:rsidRPr="00CF0572">
        <w:t xml:space="preserve"> were without question the women</w:t>
      </w:r>
      <w:r w:rsidR="005F2AA6">
        <w:t>’</w:t>
      </w:r>
      <w:r w:rsidRPr="00CF0572">
        <w:t>s homes. Since the effect of the possession orders would be to throw them out, I think it inescapable that those orders amounted to an interference with the appellants</w:t>
      </w:r>
      <w:r w:rsidR="005F2AA6">
        <w:t>’</w:t>
      </w:r>
      <w:r w:rsidRPr="00CF0572">
        <w:t xml:space="preserve"> right of respect of their homes. I have said that the case is all about Article 8; more precisely, it is all about Article 8</w:t>
      </w:r>
      <w:r w:rsidR="00E56B07">
        <w:t xml:space="preserve"> § 2.</w:t>
      </w:r>
    </w:p>
    <w:p w:rsidR="00CF0572" w:rsidP="00CF0572" w:rsidRDefault="00CF0572">
      <w:pPr>
        <w:pStyle w:val="JuQuot"/>
        <w:rPr>
          <w:b/>
        </w:rPr>
      </w:pPr>
      <w:r>
        <w:t>27.</w:t>
      </w:r>
      <w:r w:rsidR="002D4C35">
        <w:t>  </w:t>
      </w:r>
      <w:r w:rsidRPr="00CF0572">
        <w:t>Before proceeding to the issues arising under Article 8</w:t>
      </w:r>
      <w:r w:rsidR="00E56B07">
        <w:t xml:space="preserve"> § 2,</w:t>
      </w:r>
      <w:r w:rsidRPr="00CF0572">
        <w:t xml:space="preserve"> I should make it clear that I entertain what is perhaps a deeper reason for my view that the case cannot be concluded by a judgment that there is no violation of Article 8</w:t>
      </w:r>
      <w:r w:rsidR="00E56B07">
        <w:t xml:space="preserve"> § 1.</w:t>
      </w:r>
      <w:r w:rsidRPr="00CF0572">
        <w:t xml:space="preserve"> It concerns the relationship between the two paragraphs of Article 8. I have held that eviction of these appellants would constitute a prima facie violation of their right to respect for their homes. But this conclusion is not simply an instance of that everyday judicial process, the application of a statute</w:t>
      </w:r>
      <w:r w:rsidR="005F2AA6">
        <w:t>’</w:t>
      </w:r>
      <w:r w:rsidRPr="00CF0572">
        <w:t>s correct construction (here, Article 8</w:t>
      </w:r>
      <w:r w:rsidR="00E56B07">
        <w:t xml:space="preserve"> § 1)</w:t>
      </w:r>
      <w:r w:rsidRPr="00CF0572">
        <w:t xml:space="preserve"> to a particular set of facts. Rather it has a purposive quality. The court has to arrive at a judicial choice between two possibilities, a choice which transcends the business of finding out what the legislation</w:t>
      </w:r>
      <w:r w:rsidR="005F2AA6">
        <w:t>’</w:t>
      </w:r>
      <w:r w:rsidRPr="00CF0572">
        <w:t>s words mean. The first choice</w:t>
      </w:r>
      <w:r>
        <w:t xml:space="preserve"> </w:t>
      </w:r>
      <w:r w:rsidR="00776D6F">
        <w:t>...</w:t>
      </w:r>
      <w:r w:rsidRPr="00CF0572">
        <w:t xml:space="preserve"> would entail a judgment that the Convention requirement was met at the Article 8</w:t>
      </w:r>
      <w:r w:rsidR="00477B5D">
        <w:t xml:space="preserve"> § 1</w:t>
      </w:r>
      <w:r w:rsidRPr="00CF0572">
        <w:t xml:space="preserve"> stage</w:t>
      </w:r>
      <w:r>
        <w:t xml:space="preserve"> </w:t>
      </w:r>
      <w:r w:rsidR="00776D6F">
        <w:t>...</w:t>
      </w:r>
      <w:r w:rsidRPr="00CF0572">
        <w:t xml:space="preserve"> The second choice (accepting a prima facie violation of Article 8</w:t>
      </w:r>
      <w:r w:rsidR="00E56B07">
        <w:t xml:space="preserve"> § 1),</w:t>
      </w:r>
      <w:r w:rsidRPr="00CF0572">
        <w:t xml:space="preserve"> which I prefer, entails a judgment that the more rigorous and specific standards set out in Article</w:t>
      </w:r>
      <w:r w:rsidR="00E56B07">
        <w:t> </w:t>
      </w:r>
      <w:r w:rsidRPr="00CF0572">
        <w:t>8</w:t>
      </w:r>
      <w:r w:rsidR="00E56B07">
        <w:t> § 2</w:t>
      </w:r>
      <w:r w:rsidRPr="00CF0572">
        <w:t xml:space="preserve"> have to be met if the court is to hold that the evictions are compatible with the appellants</w:t>
      </w:r>
      <w:r w:rsidR="005F2AA6">
        <w:t>’</w:t>
      </w:r>
      <w:r w:rsidRPr="00CF0572">
        <w:t xml:space="preserve"> Convention rights. The Convention is, as it were, much more remotely engaged in the fabric of our domestic law if the first, rather than the second, choice is taken. Part of the court</w:t>
      </w:r>
      <w:r w:rsidR="005F2AA6">
        <w:t>’</w:t>
      </w:r>
      <w:r w:rsidRPr="00CF0572">
        <w:t>s task is to decide how close that engagement should be in the context in hand. Thus I do not eschew the first choice merely because I take the view that the second more naturally reflects the ordinary sense of the words used in Article</w:t>
      </w:r>
      <w:r w:rsidR="00741265">
        <w:t> </w:t>
      </w:r>
      <w:r w:rsidRPr="00CF0572">
        <w:t>8</w:t>
      </w:r>
      <w:r w:rsidR="00741265">
        <w:t xml:space="preserve"> § 1.</w:t>
      </w:r>
      <w:r w:rsidRPr="00CF0572">
        <w:t xml:space="preserve"> I consider as a matter of substance that the vindication and fulfilment of the Convention rights, for which purpose </w:t>
      </w:r>
      <w:r>
        <w:t>[the Human Rights Act 1998]</w:t>
      </w:r>
      <w:r w:rsidRPr="00CF0572">
        <w:t xml:space="preserve"> was enacted, require that the domestic law procedures involved in these appeals should be subjected to scrutiny for conformity with the Article 8</w:t>
      </w:r>
      <w:r w:rsidR="00741265">
        <w:t xml:space="preserve"> § 2</w:t>
      </w:r>
      <w:r w:rsidRPr="00CF0572">
        <w:t xml:space="preserve"> standards. Such a process is demanded by the fullness of our</w:t>
      </w:r>
      <w:r>
        <w:t xml:space="preserve"> municipal law of human rights.”</w:t>
      </w:r>
    </w:p>
    <w:p w:rsidR="00CF0572" w:rsidP="00CE1995" w:rsidRDefault="00CF0572">
      <w:pPr>
        <w:pStyle w:val="JuPara"/>
      </w:pPr>
      <w:r>
        <w:t xml:space="preserve">Lord Bingham </w:t>
      </w:r>
      <w:r w:rsidR="00CE1995">
        <w:t>nonetheless emphasised</w:t>
      </w:r>
      <w:r>
        <w:t xml:space="preserve"> that </w:t>
      </w:r>
      <w:r w:rsidR="00CE1995">
        <w:t>the administration of public housing under various statutory schemes was properly entrusted to local housing authorities and that the occasions on which a court would be justified in declining a possession order would be highly exceptional. He concluded:</w:t>
      </w:r>
    </w:p>
    <w:p w:rsidR="00CE1995" w:rsidP="00CE1995" w:rsidRDefault="00CE1995">
      <w:pPr>
        <w:pStyle w:val="JuQuot"/>
      </w:pPr>
      <w:r>
        <w:t>“If (contrary to the ruling of the majority of the House) effect were to be given to my opinion, I am confident that the housing authorities acting in good faith in implementation of schemes prescribed by statute and administered by them need apprehend no significant increase in their litigious burden</w:t>
      </w:r>
      <w:r w:rsidR="00746D6F">
        <w:t>.</w:t>
      </w:r>
      <w:r>
        <w:t>”</w:t>
      </w:r>
    </w:p>
    <w:p w:rsidR="00F737E3" w:rsidP="00CF0572" w:rsidRDefault="00965FAA">
      <w:pPr>
        <w:pStyle w:val="JuHA"/>
        <w:rPr>
          <w:i/>
        </w:rPr>
      </w:pPr>
      <w:r>
        <w:t>E</w:t>
      </w:r>
      <w:r w:rsidR="00860FE2">
        <w:t>.</w:t>
      </w:r>
      <w:r w:rsidR="009578FF">
        <w:t>  </w:t>
      </w:r>
      <w:r w:rsidR="00860FE2">
        <w:t>The House of Lords</w:t>
      </w:r>
      <w:r w:rsidR="005F2AA6">
        <w:t>’</w:t>
      </w:r>
      <w:r w:rsidR="00860FE2">
        <w:t xml:space="preserve"> judgment in </w:t>
      </w:r>
      <w:r w:rsidR="00860FE2">
        <w:rPr>
          <w:i/>
        </w:rPr>
        <w:t>Kay</w:t>
      </w:r>
    </w:p>
    <w:p w:rsidR="00FF5C00" w:rsidP="00860FE2" w:rsidRDefault="00860FE2">
      <w:pPr>
        <w:pStyle w:val="JuPara"/>
      </w:pPr>
      <w:r>
        <w:fldChar w:fldCharType="begin"/>
      </w:r>
      <w:r>
        <w:instrText xml:space="preserve"> SEQ level0 \*arabic </w:instrText>
      </w:r>
      <w:r>
        <w:fldChar w:fldCharType="separate"/>
      </w:r>
      <w:r w:rsidR="005F2AA6">
        <w:rPr>
          <w:noProof/>
        </w:rPr>
        <w:t>26</w:t>
      </w:r>
      <w:r>
        <w:fldChar w:fldCharType="end"/>
      </w:r>
      <w:r>
        <w:t xml:space="preserve">.  In </w:t>
      </w:r>
      <w:r>
        <w:rPr>
          <w:i/>
        </w:rPr>
        <w:t xml:space="preserve">Kay v. </w:t>
      </w:r>
      <w:r w:rsidR="00EF6CAC">
        <w:rPr>
          <w:i/>
        </w:rPr>
        <w:t xml:space="preserve">London Borough of </w:t>
      </w:r>
      <w:r>
        <w:rPr>
          <w:i/>
        </w:rPr>
        <w:t xml:space="preserve">Lambeth; Leeds </w:t>
      </w:r>
      <w:r w:rsidR="00EF6CAC">
        <w:rPr>
          <w:i/>
        </w:rPr>
        <w:t>City</w:t>
      </w:r>
      <w:r>
        <w:rPr>
          <w:i/>
        </w:rPr>
        <w:t xml:space="preserve"> Council</w:t>
      </w:r>
      <w:r w:rsidR="00EF6CAC">
        <w:rPr>
          <w:i/>
        </w:rPr>
        <w:t xml:space="preserve"> v. Price</w:t>
      </w:r>
      <w:r w:rsidR="00BD34B9">
        <w:t>, 8 March 2006,</w:t>
      </w:r>
      <w:r>
        <w:rPr>
          <w:i/>
        </w:rPr>
        <w:t xml:space="preserve"> </w:t>
      </w:r>
      <w:r>
        <w:t>[2006] UKHL 10, the House of Lords constituted itself as a seven</w:t>
      </w:r>
      <w:r w:rsidR="00C54705">
        <w:t>-</w:t>
      </w:r>
      <w:r>
        <w:t xml:space="preserve">judge </w:t>
      </w:r>
      <w:r w:rsidR="00C54705">
        <w:t>c</w:t>
      </w:r>
      <w:r>
        <w:t>ommittee (rather than five judge</w:t>
      </w:r>
      <w:r w:rsidR="00986F6B">
        <w:t>s as usual</w:t>
      </w:r>
      <w:r>
        <w:t xml:space="preserve">) in order to revisit its decision in </w:t>
      </w:r>
      <w:proofErr w:type="spellStart"/>
      <w:r>
        <w:rPr>
          <w:i/>
        </w:rPr>
        <w:t>Qazi</w:t>
      </w:r>
      <w:proofErr w:type="spellEnd"/>
      <w:r>
        <w:rPr>
          <w:i/>
        </w:rPr>
        <w:t xml:space="preserve"> </w:t>
      </w:r>
      <w:r>
        <w:t>in the light of the Court</w:t>
      </w:r>
      <w:r w:rsidR="005F2AA6">
        <w:t>’</w:t>
      </w:r>
      <w:r>
        <w:t>s judgment</w:t>
      </w:r>
      <w:r w:rsidR="00BD34B9">
        <w:t>s</w:t>
      </w:r>
      <w:r>
        <w:t xml:space="preserve"> in </w:t>
      </w:r>
      <w:r w:rsidRPr="00536855">
        <w:rPr>
          <w:i/>
        </w:rPr>
        <w:t>Connors v.</w:t>
      </w:r>
      <w:r w:rsidR="00821004">
        <w:rPr>
          <w:i/>
        </w:rPr>
        <w:t xml:space="preserve"> </w:t>
      </w:r>
      <w:r w:rsidRPr="00536855">
        <w:rPr>
          <w:i/>
        </w:rPr>
        <w:t>the United Kingdom</w:t>
      </w:r>
      <w:r w:rsidR="00BD34B9">
        <w:rPr>
          <w:i/>
        </w:rPr>
        <w:t xml:space="preserve"> </w:t>
      </w:r>
      <w:r w:rsidR="00C54705">
        <w:t>(</w:t>
      </w:r>
      <w:r w:rsidRPr="00536855">
        <w:t>no.</w:t>
      </w:r>
      <w:r w:rsidR="00821004">
        <w:t xml:space="preserve"> </w:t>
      </w:r>
      <w:r w:rsidRPr="00536855">
        <w:t>66746/01, §§ 81</w:t>
      </w:r>
      <w:r w:rsidR="00746D6F">
        <w:t>-</w:t>
      </w:r>
      <w:r w:rsidRPr="00536855">
        <w:t>84, 27</w:t>
      </w:r>
      <w:r w:rsidR="00821004">
        <w:t xml:space="preserve"> </w:t>
      </w:r>
      <w:r w:rsidRPr="00536855">
        <w:t>May 2004</w:t>
      </w:r>
      <w:r w:rsidR="00C54705">
        <w:t>)</w:t>
      </w:r>
      <w:r w:rsidR="00BD34B9">
        <w:t xml:space="preserve"> and </w:t>
      </w:r>
      <w:proofErr w:type="spellStart"/>
      <w:r w:rsidR="00BD34B9">
        <w:rPr>
          <w:i/>
        </w:rPr>
        <w:t>Blečič</w:t>
      </w:r>
      <w:proofErr w:type="spellEnd"/>
      <w:r w:rsidR="00BD34B9">
        <w:rPr>
          <w:i/>
        </w:rPr>
        <w:t xml:space="preserve"> v. Croatia </w:t>
      </w:r>
      <w:r w:rsidR="00C54705">
        <w:t>(</w:t>
      </w:r>
      <w:r w:rsidR="00BD34B9">
        <w:t xml:space="preserve">no. </w:t>
      </w:r>
      <w:r w:rsidRPr="00BD34B9" w:rsidR="00BD34B9">
        <w:t>59532/00</w:t>
      </w:r>
      <w:r w:rsidR="00BD34B9">
        <w:t>, 29 July 2004</w:t>
      </w:r>
      <w:r w:rsidR="00C54705">
        <w:t xml:space="preserve">; </w:t>
      </w:r>
      <w:r w:rsidR="00B66245">
        <w:t>the latter judgment was subsequently referred to the Grand Chamber which found, on 8 March 2006, that because domestic remedies had not been exhausted, it was unable to take cognisance of the merits of the case)</w:t>
      </w:r>
      <w:r>
        <w:t xml:space="preserve">. </w:t>
      </w:r>
      <w:r w:rsidR="00FF5C00">
        <w:t>The Lords were unanimous in limiting their consideration to cases were the landlord was a public authority.</w:t>
      </w:r>
    </w:p>
    <w:p w:rsidR="00EC4149" w:rsidP="00860FE2" w:rsidRDefault="00FF5C00">
      <w:pPr>
        <w:pStyle w:val="JuPara"/>
      </w:pPr>
      <w:r>
        <w:fldChar w:fldCharType="begin"/>
      </w:r>
      <w:r>
        <w:instrText xml:space="preserve"> SEQ level0 \*arabic </w:instrText>
      </w:r>
      <w:r>
        <w:fldChar w:fldCharType="separate"/>
      </w:r>
      <w:r w:rsidR="005F2AA6">
        <w:rPr>
          <w:noProof/>
        </w:rPr>
        <w:t>27</w:t>
      </w:r>
      <w:r>
        <w:fldChar w:fldCharType="end"/>
      </w:r>
      <w:r>
        <w:t>.  </w:t>
      </w:r>
      <w:r w:rsidR="00947FF3">
        <w:t xml:space="preserve">The majority (Lords Hope, Scott, Brown </w:t>
      </w:r>
      <w:r w:rsidR="0015233D">
        <w:t xml:space="preserve">of Eaton-under-Heywood </w:t>
      </w:r>
      <w:r w:rsidR="00947FF3">
        <w:t>and Baroness Hale</w:t>
      </w:r>
      <w:r w:rsidR="0015233D">
        <w:t xml:space="preserve"> of </w:t>
      </w:r>
      <w:smartTag w:uri="urn:schemas-microsoft-com:office:smarttags" w:element="PersonName">
        <w:r w:rsidR="0015233D">
          <w:t>Rich</w:t>
        </w:r>
      </w:smartTag>
      <w:r w:rsidR="0015233D">
        <w:t>mond</w:t>
      </w:r>
      <w:r w:rsidR="00947FF3">
        <w:t xml:space="preserve">) held that the judgment in </w:t>
      </w:r>
      <w:r w:rsidR="00947FF3">
        <w:rPr>
          <w:i/>
        </w:rPr>
        <w:t xml:space="preserve">Connors </w:t>
      </w:r>
      <w:r w:rsidR="00947FF3">
        <w:t xml:space="preserve">was not incompatible with the view of the majority in </w:t>
      </w:r>
      <w:proofErr w:type="spellStart"/>
      <w:r w:rsidR="00947FF3">
        <w:rPr>
          <w:i/>
        </w:rPr>
        <w:t>Qazi</w:t>
      </w:r>
      <w:proofErr w:type="spellEnd"/>
      <w:r w:rsidR="00947FF3">
        <w:rPr>
          <w:i/>
        </w:rPr>
        <w:t xml:space="preserve"> </w:t>
      </w:r>
      <w:r w:rsidR="00947FF3">
        <w:t>that there was no need for a review of the issues raised by Article 8 § 2 to be conducted by the County Court if the case was of a type where the law itself provided the answer, as in that situation a merits review would be a pointless exercise. In such a case</w:t>
      </w:r>
      <w:r w:rsidR="009509E4">
        <w:t>,</w:t>
      </w:r>
      <w:r w:rsidR="00947FF3">
        <w:t xml:space="preserve"> an Article 8 defence, if raised, should simply be struck out. However, in the light of the judgments in </w:t>
      </w:r>
      <w:r w:rsidR="00947FF3">
        <w:rPr>
          <w:i/>
        </w:rPr>
        <w:t xml:space="preserve">Connors </w:t>
      </w:r>
      <w:r w:rsidR="00947FF3">
        <w:t xml:space="preserve">and </w:t>
      </w:r>
      <w:proofErr w:type="spellStart"/>
      <w:r w:rsidR="00947FF3">
        <w:rPr>
          <w:i/>
        </w:rPr>
        <w:t>Blečič</w:t>
      </w:r>
      <w:proofErr w:type="spellEnd"/>
      <w:r w:rsidR="00947FF3">
        <w:t xml:space="preserve"> it was necessary to emphasise that a person evicted might have a defence to possession proceedings in exceptional cases, namely (</w:t>
      </w:r>
      <w:r w:rsidR="00037F7D">
        <w:t>a</w:t>
      </w:r>
      <w:r w:rsidR="00947FF3">
        <w:t xml:space="preserve">) where he challenged the domestic law as itself being incompatible with Article 8 (as in </w:t>
      </w:r>
      <w:r w:rsidR="00947FF3">
        <w:rPr>
          <w:i/>
        </w:rPr>
        <w:t>Connors</w:t>
      </w:r>
      <w:r w:rsidR="00947FF3">
        <w:t>)</w:t>
      </w:r>
      <w:r w:rsidR="009509E4">
        <w:t>;</w:t>
      </w:r>
      <w:r w:rsidR="00947FF3">
        <w:t xml:space="preserve"> or (</w:t>
      </w:r>
      <w:r w:rsidR="00037F7D">
        <w:t>b</w:t>
      </w:r>
      <w:r w:rsidR="00947FF3">
        <w:t>)</w:t>
      </w:r>
      <w:r w:rsidR="00046B8E">
        <w:t xml:space="preserve"> </w:t>
      </w:r>
      <w:r w:rsidR="00037F7D">
        <w:t xml:space="preserve">where </w:t>
      </w:r>
      <w:r w:rsidR="00046B8E">
        <w:t>he challenged the action of the public</w:t>
      </w:r>
      <w:r w:rsidR="00FA5FBC">
        <w:t>-</w:t>
      </w:r>
      <w:r w:rsidR="00046B8E">
        <w:t>authority landlord on public law grounds, on the basis that the authority</w:t>
      </w:r>
      <w:r w:rsidR="005F2AA6">
        <w:t>’</w:t>
      </w:r>
      <w:r w:rsidR="00046B8E">
        <w:t>s actions constituted an abuse of power.</w:t>
      </w:r>
    </w:p>
    <w:p w:rsidR="00FF5C00" w:rsidP="00860FE2" w:rsidRDefault="00EC4149">
      <w:pPr>
        <w:pStyle w:val="JuPara"/>
      </w:pPr>
      <w:r>
        <w:fldChar w:fldCharType="begin"/>
      </w:r>
      <w:r>
        <w:instrText xml:space="preserve"> SEQ level0 \*arabic </w:instrText>
      </w:r>
      <w:r>
        <w:fldChar w:fldCharType="separate"/>
      </w:r>
      <w:r w:rsidR="005F2AA6">
        <w:rPr>
          <w:noProof/>
        </w:rPr>
        <w:t>28</w:t>
      </w:r>
      <w:r>
        <w:fldChar w:fldCharType="end"/>
      </w:r>
      <w:r>
        <w:t xml:space="preserve">.  The minority (Lords Bingham, Nicholls </w:t>
      </w:r>
      <w:r w:rsidR="0015233D">
        <w:t xml:space="preserve">of Birkenhead </w:t>
      </w:r>
      <w:r>
        <w:t>and Walker</w:t>
      </w:r>
      <w:r w:rsidR="0015233D">
        <w:t xml:space="preserve"> of </w:t>
      </w:r>
      <w:proofErr w:type="spellStart"/>
      <w:r w:rsidR="0015233D">
        <w:t>Gestingthorpe</w:t>
      </w:r>
      <w:proofErr w:type="spellEnd"/>
      <w:r>
        <w:t xml:space="preserve">) </w:t>
      </w:r>
      <w:r w:rsidR="00FF5C00">
        <w:t xml:space="preserve">held that </w:t>
      </w:r>
      <w:r w:rsidR="008B5820">
        <w:t>a defendant</w:t>
      </w:r>
      <w:r w:rsidR="00FF5C00">
        <w:t xml:space="preserve"> to possession proceedings brought by public authorities should be permitted in principle to raise an Article 8 defence during the County Court possession proceedings. Lord Bingham expressed it as follows:</w:t>
      </w:r>
    </w:p>
    <w:p w:rsidR="00FF5C00" w:rsidP="00FF5C00" w:rsidRDefault="00FF5C00">
      <w:pPr>
        <w:pStyle w:val="JuQuot"/>
      </w:pPr>
      <w:r>
        <w:t xml:space="preserve">“I do not accept, as the appellants argued, that the public authority must from the outset plead and prove that the possession order sought is justified. That would, in the overwhelming majority of cases, be burdensome and futile. It is enough for the public authority to assert its claim in accordance with domestic property law. If the occupier wishes to raise an Article 8 defence to prevent or defer the making of a possession order it is for him to do so and the public authority must rebut the claim if, and to the extent that, it is called upon to do so. In the overwhelming majority of cases this will be </w:t>
      </w:r>
      <w:r w:rsidR="008B5820">
        <w:t>in no way burdensome. In rare and exceptional cases it will not be futile.”</w:t>
      </w:r>
    </w:p>
    <w:p w:rsidR="00D207D5" w:rsidP="00DA1508" w:rsidRDefault="00CD49A7">
      <w:pPr>
        <w:pStyle w:val="JuHHead"/>
      </w:pPr>
      <w:r w:rsidRPr="002354E4">
        <w:t>THE LAW</w:t>
      </w:r>
    </w:p>
    <w:p w:rsidR="00D207D5" w:rsidP="00D207D5" w:rsidRDefault="00D207D5">
      <w:pPr>
        <w:pStyle w:val="JuHIRoman"/>
      </w:pPr>
      <w:r>
        <w:t>I.</w:t>
      </w:r>
      <w:r w:rsidR="009578FF">
        <w:t>  </w:t>
      </w:r>
      <w:r>
        <w:t>ADMISSIBILITY OF THE COMPLAINTS</w:t>
      </w:r>
    </w:p>
    <w:p w:rsidRPr="00836E8F" w:rsidR="00836E8F" w:rsidP="00836E8F" w:rsidRDefault="009578FF">
      <w:pPr>
        <w:pStyle w:val="JuHA"/>
      </w:pPr>
      <w:r>
        <w:t>A.  </w:t>
      </w:r>
      <w:r w:rsidR="00836E8F">
        <w:t>Article 6 § 1 of the Convention</w:t>
      </w:r>
    </w:p>
    <w:p w:rsidRPr="00536855" w:rsidR="00836E8F" w:rsidP="00836E8F" w:rsidRDefault="00836E8F">
      <w:pPr>
        <w:pStyle w:val="JuPara"/>
      </w:pPr>
      <w:r>
        <w:fldChar w:fldCharType="begin"/>
      </w:r>
      <w:r>
        <w:instrText xml:space="preserve"> SEQ level0 \*arabic </w:instrText>
      </w:r>
      <w:r>
        <w:fldChar w:fldCharType="separate"/>
      </w:r>
      <w:r w:rsidR="005F2AA6">
        <w:rPr>
          <w:noProof/>
        </w:rPr>
        <w:t>29</w:t>
      </w:r>
      <w:r>
        <w:fldChar w:fldCharType="end"/>
      </w:r>
      <w:r>
        <w:t>.  </w:t>
      </w:r>
      <w:r w:rsidRPr="00536855">
        <w:t>Th</w:t>
      </w:r>
      <w:r>
        <w:t>e applicant alleged</w:t>
      </w:r>
      <w:r w:rsidRPr="00536855">
        <w:t xml:space="preserve"> a violation of Article 6</w:t>
      </w:r>
      <w:r>
        <w:t xml:space="preserve"> § 1 of the Convention, claiming </w:t>
      </w:r>
      <w:r w:rsidRPr="00536855">
        <w:t xml:space="preserve">that the local </w:t>
      </w:r>
      <w:r>
        <w:t>authority</w:t>
      </w:r>
      <w:r w:rsidRPr="00536855">
        <w:t xml:space="preserve"> was not an independent and impartial tribunal when it brought about the termination of the tenancy to the property.</w:t>
      </w:r>
    </w:p>
    <w:p w:rsidRPr="00536855" w:rsidR="00836E8F" w:rsidP="00836E8F" w:rsidRDefault="00836E8F">
      <w:pPr>
        <w:ind w:firstLine="284"/>
      </w:pPr>
      <w:r w:rsidRPr="00536855">
        <w:rPr>
          <w:rStyle w:val="JuParaChar"/>
        </w:rPr>
        <w:t>Article 6</w:t>
      </w:r>
      <w:r>
        <w:rPr>
          <w:rStyle w:val="JuParaChar"/>
        </w:rPr>
        <w:t xml:space="preserve"> § 1</w:t>
      </w:r>
      <w:r w:rsidRPr="00536855">
        <w:rPr>
          <w:rStyle w:val="JuParaChar"/>
        </w:rPr>
        <w:t xml:space="preserve"> provides as follows</w:t>
      </w:r>
      <w:r w:rsidRPr="00536855">
        <w:t>:</w:t>
      </w:r>
    </w:p>
    <w:p w:rsidRPr="00536855" w:rsidR="00836E8F" w:rsidP="00836E8F" w:rsidRDefault="00836E8F">
      <w:pPr>
        <w:pStyle w:val="JuQuot"/>
      </w:pPr>
      <w:r w:rsidRPr="00536855">
        <w:t>“In the determination of his civil rights and obligations</w:t>
      </w:r>
      <w:r>
        <w:t xml:space="preserve"> </w:t>
      </w:r>
      <w:r w:rsidR="00776D6F">
        <w:t>...</w:t>
      </w:r>
      <w:r w:rsidRPr="00536855">
        <w:t xml:space="preserve"> everyone is entitled to a fair and public hearing within a reasonable time by an independent and impartial tribunal established by law.”</w:t>
      </w:r>
    </w:p>
    <w:p w:rsidRPr="00536855" w:rsidR="00836E8F" w:rsidP="00836E8F" w:rsidRDefault="00D93AA4">
      <w:pPr>
        <w:pStyle w:val="JuPara"/>
      </w:pPr>
      <w:r>
        <w:fldChar w:fldCharType="begin"/>
      </w:r>
      <w:r>
        <w:instrText xml:space="preserve"> SEQ level0 \*arabic </w:instrText>
      </w:r>
      <w:r>
        <w:fldChar w:fldCharType="separate"/>
      </w:r>
      <w:r w:rsidR="005F2AA6">
        <w:rPr>
          <w:noProof/>
        </w:rPr>
        <w:t>30</w:t>
      </w:r>
      <w:r>
        <w:fldChar w:fldCharType="end"/>
      </w:r>
      <w:r>
        <w:t>.  </w:t>
      </w:r>
      <w:r w:rsidR="00836E8F">
        <w:t>This provision</w:t>
      </w:r>
      <w:r w:rsidRPr="00536855" w:rsidR="00836E8F">
        <w:t xml:space="preserve"> ensures procedural guarantees in the determination of civil rights and obligations. In the present case, the “rights and obligations” were those arising out of the tenancy which the applicant and his wife had with the local authority. </w:t>
      </w:r>
      <w:r w:rsidR="00836E8F">
        <w:t xml:space="preserve">The tenancy was terminated by </w:t>
      </w:r>
      <w:r w:rsidRPr="00536855" w:rsidR="00836E8F">
        <w:t>the applicant</w:t>
      </w:r>
      <w:r w:rsidR="005F2AA6">
        <w:t>’</w:t>
      </w:r>
      <w:r w:rsidRPr="00536855" w:rsidR="00836E8F">
        <w:t>s wife</w:t>
      </w:r>
      <w:r w:rsidR="005F2AA6">
        <w:t>’</w:t>
      </w:r>
      <w:r w:rsidR="00836E8F">
        <w:t xml:space="preserve">s </w:t>
      </w:r>
      <w:r w:rsidRPr="00536855" w:rsidR="00836E8F">
        <w:t xml:space="preserve">notice to quit </w:t>
      </w:r>
      <w:r w:rsidR="00836E8F">
        <w:t>of</w:t>
      </w:r>
      <w:r w:rsidRPr="00536855" w:rsidR="00836E8F">
        <w:t xml:space="preserve"> 4 January 2002. The determination of the civil rights and obligations, however, took place before the domestic courts – the </w:t>
      </w:r>
      <w:smartTag w:uri="urn:schemas-microsoft-com:office:smarttags" w:element="Street">
        <w:smartTag w:uri="urn:schemas-microsoft-com:office:smarttags" w:element="address">
          <w:r w:rsidR="00836E8F" w:rsidRPr="00536855">
            <w:t>Birmingham County Court</w:t>
          </w:r>
        </w:smartTag>
      </w:smartTag>
      <w:r w:rsidRPr="00536855" w:rsidR="00836E8F">
        <w:t xml:space="preserve">, which gave judgment on </w:t>
      </w:r>
      <w:smartTag w:uri="urn:schemas-microsoft-com:office:smarttags" w:element="date">
        <w:smartTagPr>
          <w:attr w:name="Year" w:val="2003"/>
          <w:attr w:name="Day" w:val="15"/>
          <w:attr w:name="Month" w:val="4"/>
        </w:smartTagPr>
        <w:r w:rsidR="00836E8F" w:rsidRPr="00536855">
          <w:t>15 April 2003</w:t>
        </w:r>
      </w:smartTag>
      <w:r w:rsidRPr="00536855" w:rsidR="00836E8F">
        <w:t xml:space="preserve">, and the Court of Appeal, which gave judgment on </w:t>
      </w:r>
      <w:smartTag w:uri="urn:schemas-microsoft-com:office:smarttags" w:element="date">
        <w:smartTagPr>
          <w:attr w:name="Year" w:val="2003"/>
          <w:attr w:name="Day" w:val="9"/>
          <w:attr w:name="Month" w:val="12"/>
        </w:smartTagPr>
        <w:r w:rsidR="00836E8F" w:rsidRPr="00536855">
          <w:t>9 December 2003</w:t>
        </w:r>
      </w:smartTag>
      <w:r w:rsidRPr="00536855" w:rsidR="00836E8F">
        <w:t>. Any complaints concerning the fairness of the proceedings must therefore relate to the proceedings before those courts. The applicant makes no submissions as to the fairness of the proceedings before the courts, and does not submit that anything outside the proceedings as such could have had an impact on them.</w:t>
      </w:r>
    </w:p>
    <w:p w:rsidR="00836E8F" w:rsidP="00836E8F" w:rsidRDefault="00D93AA4">
      <w:pPr>
        <w:pStyle w:val="JuPara"/>
      </w:pPr>
      <w:r>
        <w:fldChar w:fldCharType="begin"/>
      </w:r>
      <w:r>
        <w:instrText xml:space="preserve"> SEQ level0 \*arabic </w:instrText>
      </w:r>
      <w:r>
        <w:fldChar w:fldCharType="separate"/>
      </w:r>
      <w:r w:rsidR="005F2AA6">
        <w:rPr>
          <w:noProof/>
        </w:rPr>
        <w:t>31</w:t>
      </w:r>
      <w:r>
        <w:fldChar w:fldCharType="end"/>
      </w:r>
      <w:r>
        <w:t>.  </w:t>
      </w:r>
      <w:r w:rsidRPr="00536855" w:rsidR="00836E8F">
        <w:t>It follows that this part of the application is manifestly ill-founded within the meaning of Article 35 § 3 of the Convention, and must be rejected pursuant to Article 35 § 4.</w:t>
      </w:r>
    </w:p>
    <w:p w:rsidRPr="00536855" w:rsidR="00D93AA4" w:rsidP="00D93AA4" w:rsidRDefault="00D93AA4">
      <w:pPr>
        <w:pStyle w:val="JuHA"/>
      </w:pPr>
      <w:r>
        <w:t>B.</w:t>
      </w:r>
      <w:r w:rsidR="009578FF">
        <w:t>  </w:t>
      </w:r>
      <w:r>
        <w:t>Article 8 of the Convention</w:t>
      </w:r>
    </w:p>
    <w:p w:rsidRPr="00536855" w:rsidR="00836E8F" w:rsidP="00836E8F" w:rsidRDefault="00D93AA4">
      <w:pPr>
        <w:pStyle w:val="JuPara"/>
      </w:pPr>
      <w:r>
        <w:fldChar w:fldCharType="begin"/>
      </w:r>
      <w:r>
        <w:instrText xml:space="preserve"> SEQ level0 \*arabic </w:instrText>
      </w:r>
      <w:r>
        <w:fldChar w:fldCharType="separate"/>
      </w:r>
      <w:r w:rsidR="005F2AA6">
        <w:rPr>
          <w:noProof/>
        </w:rPr>
        <w:t>32</w:t>
      </w:r>
      <w:r>
        <w:fldChar w:fldCharType="end"/>
      </w:r>
      <w:r>
        <w:t>.  </w:t>
      </w:r>
      <w:r w:rsidRPr="00536855" w:rsidR="00836E8F">
        <w:t xml:space="preserve">The applicant </w:t>
      </w:r>
      <w:r>
        <w:t>also alleged</w:t>
      </w:r>
      <w:r w:rsidRPr="00536855" w:rsidR="00836E8F">
        <w:t xml:space="preserve"> a violation of Article 8 of the Convention</w:t>
      </w:r>
      <w:r>
        <w:t xml:space="preserve">, contending that </w:t>
      </w:r>
      <w:r w:rsidRPr="00536855" w:rsidR="00836E8F">
        <w:t xml:space="preserve">because of the way in which the </w:t>
      </w:r>
      <w:r w:rsidR="00CC625E">
        <w:t>C</w:t>
      </w:r>
      <w:r w:rsidRPr="00536855" w:rsidR="00836E8F">
        <w:t>ouncil procured the notice to quit in the case, and because the resultant proceedings were limited to bare property</w:t>
      </w:r>
      <w:r w:rsidR="00F06FF0">
        <w:t>-</w:t>
      </w:r>
      <w:r w:rsidRPr="00536855" w:rsidR="00836E8F">
        <w:t xml:space="preserve">law issues, his right to respect for his home </w:t>
      </w:r>
      <w:r>
        <w:t>was not</w:t>
      </w:r>
      <w:r w:rsidRPr="00536855" w:rsidR="00836E8F">
        <w:t xml:space="preserve"> observed.</w:t>
      </w:r>
    </w:p>
    <w:p w:rsidRPr="00536855" w:rsidR="00836E8F" w:rsidP="00836E8F" w:rsidRDefault="00836E8F">
      <w:pPr>
        <w:pStyle w:val="JuPara"/>
      </w:pPr>
      <w:r w:rsidRPr="00536855">
        <w:t>Article 8 of the Convention provides, so far as relevant, as follows:</w:t>
      </w:r>
    </w:p>
    <w:p w:rsidR="00836E8F" w:rsidP="00836E8F" w:rsidRDefault="00836E8F">
      <w:pPr>
        <w:pStyle w:val="JuQuot"/>
      </w:pPr>
      <w:r>
        <w:t xml:space="preserve">“1.  Everyone has the right to respect for his private </w:t>
      </w:r>
      <w:r w:rsidR="00776D6F">
        <w:t>...</w:t>
      </w:r>
      <w:r>
        <w:t xml:space="preserve"> life, his home </w:t>
      </w:r>
      <w:r w:rsidR="00776D6F">
        <w:t>..</w:t>
      </w:r>
      <w:r>
        <w:t>.</w:t>
      </w:r>
    </w:p>
    <w:p w:rsidR="00836E8F" w:rsidP="00836E8F" w:rsidRDefault="00836E8F">
      <w:pPr>
        <w:pStyle w:val="JuQuot"/>
      </w:pPr>
      <w:r>
        <w:t xml:space="preserve">2.  There shall be no interference by a public authority with the exercise of this right except such as is in accordance with the law and is necessary in a democratic society in the interests of </w:t>
      </w:r>
      <w:r w:rsidR="00776D6F">
        <w:t>...</w:t>
      </w:r>
      <w:r>
        <w:t xml:space="preserve"> the economic well-being of the country, for the prevention of disorder or crime, </w:t>
      </w:r>
      <w:r w:rsidR="00776D6F">
        <w:t>...</w:t>
      </w:r>
      <w:r>
        <w:t xml:space="preserve"> or for the protection of the rights and freedoms of others.”</w:t>
      </w:r>
    </w:p>
    <w:p w:rsidR="00384D31" w:rsidP="00384D31" w:rsidRDefault="00384D31">
      <w:pPr>
        <w:pStyle w:val="JuPara"/>
      </w:pPr>
      <w:r>
        <w:fldChar w:fldCharType="begin"/>
      </w:r>
      <w:r>
        <w:instrText xml:space="preserve"> SEQ level0 \*arabic </w:instrText>
      </w:r>
      <w:r>
        <w:fldChar w:fldCharType="separate"/>
      </w:r>
      <w:r w:rsidR="005F2AA6">
        <w:rPr>
          <w:noProof/>
        </w:rPr>
        <w:t>33</w:t>
      </w:r>
      <w:r>
        <w:fldChar w:fldCharType="end"/>
      </w:r>
      <w:r>
        <w:t>.  </w:t>
      </w:r>
      <w:r w:rsidRPr="00384D31">
        <w:t>The Court considers that th</w:t>
      </w:r>
      <w:r>
        <w:t>is part of th</w:t>
      </w:r>
      <w:r w:rsidRPr="00384D31">
        <w:t xml:space="preserve">e application raises questions of law which are sufficiently serious that their determination should depend on an examination of the merits. No other ground for declaring it inadmissible has been established. The application must therefore be declared admissible. Pursuant to Article 29 § 3 of the Convention, the Court will consider the merits of </w:t>
      </w:r>
      <w:r>
        <w:t>this</w:t>
      </w:r>
      <w:r w:rsidRPr="00384D31">
        <w:t xml:space="preserve"> </w:t>
      </w:r>
      <w:r>
        <w:t>complaint</w:t>
      </w:r>
      <w:r w:rsidR="00503D57">
        <w:t xml:space="preserve"> below</w:t>
      </w:r>
      <w:r w:rsidRPr="00384D31">
        <w:t>.</w:t>
      </w:r>
    </w:p>
    <w:p w:rsidR="00384D31" w:rsidP="00384D31" w:rsidRDefault="00384D31">
      <w:pPr>
        <w:pStyle w:val="JuHA"/>
      </w:pPr>
      <w:r>
        <w:t>C.</w:t>
      </w:r>
      <w:r w:rsidR="009578FF">
        <w:t>  </w:t>
      </w:r>
      <w:r>
        <w:t>Article 14 of the Convention taken in conjunction with Article 8</w:t>
      </w:r>
    </w:p>
    <w:p w:rsidR="00384D31" w:rsidP="00384D31" w:rsidRDefault="00384D31">
      <w:pPr>
        <w:pStyle w:val="JuPara"/>
      </w:pPr>
      <w:r>
        <w:fldChar w:fldCharType="begin"/>
      </w:r>
      <w:r>
        <w:instrText xml:space="preserve"> SEQ level0 \*arabic </w:instrText>
      </w:r>
      <w:r>
        <w:fldChar w:fldCharType="separate"/>
      </w:r>
      <w:r w:rsidR="005F2AA6">
        <w:rPr>
          <w:noProof/>
        </w:rPr>
        <w:t>34</w:t>
      </w:r>
      <w:r>
        <w:fldChar w:fldCharType="end"/>
      </w:r>
      <w:r>
        <w:t>.  Finally, t</w:t>
      </w:r>
      <w:r w:rsidRPr="00536855">
        <w:t>he applicant, comparing his position with that of spouses of tenants who leave premises because of a relationship breakdown where there is no allegation of domestic violence, allege</w:t>
      </w:r>
      <w:r>
        <w:t>d</w:t>
      </w:r>
      <w:r w:rsidRPr="00536855">
        <w:t xml:space="preserve"> a violation of Article 14 of the Convention </w:t>
      </w:r>
      <w:r w:rsidR="005C3509">
        <w:t xml:space="preserve">taken </w:t>
      </w:r>
      <w:r w:rsidRPr="00536855">
        <w:t>in connection with Article 8 because the local authority has different policies for the two categories.</w:t>
      </w:r>
      <w:r>
        <w:t xml:space="preserve"> Article 14 provides:</w:t>
      </w:r>
    </w:p>
    <w:p w:rsidRPr="00536855" w:rsidR="00384D31" w:rsidP="00384D31" w:rsidRDefault="00384D31">
      <w:pPr>
        <w:pStyle w:val="JuQuot"/>
      </w:pPr>
      <w: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536855" w:rsidR="00384D31" w:rsidP="00384D31" w:rsidRDefault="00384D31">
      <w:pPr>
        <w:pStyle w:val="JuPara"/>
      </w:pPr>
      <w:r>
        <w:fldChar w:fldCharType="begin"/>
      </w:r>
      <w:r>
        <w:instrText xml:space="preserve"> SEQ level0 \*arabic </w:instrText>
      </w:r>
      <w:r>
        <w:fldChar w:fldCharType="separate"/>
      </w:r>
      <w:r w:rsidR="005F2AA6">
        <w:rPr>
          <w:noProof/>
        </w:rPr>
        <w:t>35</w:t>
      </w:r>
      <w:r>
        <w:fldChar w:fldCharType="end"/>
      </w:r>
      <w:r>
        <w:t>.  </w:t>
      </w:r>
      <w:r w:rsidRPr="00536855">
        <w:t>The Court notes that the applicant did not raise the issue of Article</w:t>
      </w:r>
      <w:r w:rsidR="00C0334D">
        <w:t> </w:t>
      </w:r>
      <w:r w:rsidRPr="00536855">
        <w:t>14 in any of the domestic proceedings, and has failed otherwise to challenge the different policies before the domestic courts. There is thus a real question as to whether the applicant has exhausted domestic remedies, as required by Article 35 of the Convention.</w:t>
      </w:r>
    </w:p>
    <w:p w:rsidRPr="00536855" w:rsidR="00384D31" w:rsidP="00384D31" w:rsidRDefault="00384D31">
      <w:pPr>
        <w:pStyle w:val="JuPara"/>
      </w:pPr>
      <w:r>
        <w:fldChar w:fldCharType="begin"/>
      </w:r>
      <w:r>
        <w:instrText xml:space="preserve"> SEQ level0 \*arabic </w:instrText>
      </w:r>
      <w:r>
        <w:fldChar w:fldCharType="separate"/>
      </w:r>
      <w:r w:rsidR="005F2AA6">
        <w:rPr>
          <w:noProof/>
        </w:rPr>
        <w:t>36</w:t>
      </w:r>
      <w:r>
        <w:fldChar w:fldCharType="end"/>
      </w:r>
      <w:r>
        <w:t>.  </w:t>
      </w:r>
      <w:r w:rsidRPr="00536855">
        <w:t>In any event, cases involving domestic violence are not the same as cases which do not involve domestic violence, such that different treatment of them cannot, as such, be discriminatory for the purposes of Article 14 of the Convention.</w:t>
      </w:r>
    </w:p>
    <w:p w:rsidRPr="00536855" w:rsidR="00384D31" w:rsidP="00384D31" w:rsidRDefault="00384D31">
      <w:pPr>
        <w:pStyle w:val="JuPara"/>
      </w:pPr>
      <w:r>
        <w:fldChar w:fldCharType="begin"/>
      </w:r>
      <w:r>
        <w:instrText xml:space="preserve"> SEQ level0 \*arabic </w:instrText>
      </w:r>
      <w:r>
        <w:fldChar w:fldCharType="separate"/>
      </w:r>
      <w:r w:rsidR="005F2AA6">
        <w:rPr>
          <w:noProof/>
        </w:rPr>
        <w:t>37</w:t>
      </w:r>
      <w:r>
        <w:fldChar w:fldCharType="end"/>
      </w:r>
      <w:r>
        <w:t>.  </w:t>
      </w:r>
      <w:r w:rsidRPr="00536855">
        <w:t>It follows that this part of the application is manifestly ill-founded within the meaning of Article 35 § 3 of the Convention, and must be rejected pursuant to Article 35 § 4.</w:t>
      </w:r>
    </w:p>
    <w:p w:rsidRPr="00384D31" w:rsidR="00D93AA4" w:rsidP="00384D31" w:rsidRDefault="000726C9">
      <w:pPr>
        <w:pStyle w:val="JuHIRoman"/>
      </w:pPr>
      <w:r>
        <w:t>II</w:t>
      </w:r>
      <w:r w:rsidR="00384D31">
        <w:t>.</w:t>
      </w:r>
      <w:r w:rsidR="009578FF">
        <w:t>  </w:t>
      </w:r>
      <w:r w:rsidR="00384D31">
        <w:t>THE MERITS OF THE COMPLAINT UNDER ARTICLE 8</w:t>
      </w:r>
      <w:r w:rsidR="00C07ECF">
        <w:t xml:space="preserve"> OF THE CONVENTION</w:t>
      </w:r>
    </w:p>
    <w:p w:rsidR="00503D57" w:rsidP="00503D57" w:rsidRDefault="00503D57">
      <w:pPr>
        <w:pStyle w:val="JuHA"/>
      </w:pPr>
      <w:r>
        <w:t>A.</w:t>
      </w:r>
      <w:r w:rsidR="009578FF">
        <w:t>  </w:t>
      </w:r>
      <w:r>
        <w:t>The parties</w:t>
      </w:r>
      <w:r w:rsidR="005F2AA6">
        <w:t>’</w:t>
      </w:r>
      <w:r>
        <w:t xml:space="preserve"> submissions</w:t>
      </w:r>
    </w:p>
    <w:p w:rsidR="00503D57" w:rsidP="00503D57" w:rsidRDefault="00503D57">
      <w:pPr>
        <w:pStyle w:val="JuPara"/>
      </w:pPr>
      <w:r>
        <w:fldChar w:fldCharType="begin"/>
      </w:r>
      <w:r>
        <w:instrText xml:space="preserve"> SEQ level0 \*arabic </w:instrText>
      </w:r>
      <w:r>
        <w:fldChar w:fldCharType="separate"/>
      </w:r>
      <w:r w:rsidR="005F2AA6">
        <w:rPr>
          <w:noProof/>
        </w:rPr>
        <w:t>38</w:t>
      </w:r>
      <w:r>
        <w:fldChar w:fldCharType="end"/>
      </w:r>
      <w:r>
        <w:t xml:space="preserve">.  The parties were agreed that the right to respect for the home contained in Article 8 of the Convention was engaged on the facts of the present case. </w:t>
      </w:r>
      <w:r w:rsidR="00C44AC0">
        <w:t>They disagreed, however, as to whether the impugned measure was “necessary in a democratic society”.</w:t>
      </w:r>
    </w:p>
    <w:p w:rsidR="000550F6" w:rsidP="000550F6" w:rsidRDefault="000550F6">
      <w:pPr>
        <w:pStyle w:val="JuH1"/>
      </w:pPr>
      <w:r>
        <w:t>1.</w:t>
      </w:r>
      <w:r w:rsidR="009578FF">
        <w:t>  </w:t>
      </w:r>
      <w:r>
        <w:t>The Government</w:t>
      </w:r>
    </w:p>
    <w:p w:rsidR="00F737E3" w:rsidP="00503D57" w:rsidRDefault="00503D57">
      <w:pPr>
        <w:pStyle w:val="JuPara"/>
      </w:pPr>
      <w:r>
        <w:fldChar w:fldCharType="begin"/>
      </w:r>
      <w:r>
        <w:instrText xml:space="preserve"> SEQ level0 \*arabic </w:instrText>
      </w:r>
      <w:r>
        <w:fldChar w:fldCharType="separate"/>
      </w:r>
      <w:r w:rsidR="005F2AA6">
        <w:rPr>
          <w:noProof/>
        </w:rPr>
        <w:t>39</w:t>
      </w:r>
      <w:r>
        <w:fldChar w:fldCharType="end"/>
      </w:r>
      <w:r>
        <w:t>.  The Government contended that any interference with the applicant</w:t>
      </w:r>
      <w:r w:rsidR="005F2AA6">
        <w:t>’</w:t>
      </w:r>
      <w:r>
        <w:t>s rights under Article 8 § 1 was justified within the meaning of Article 8 § 2. The local authority</w:t>
      </w:r>
      <w:r w:rsidR="005F2AA6">
        <w:t>’</w:t>
      </w:r>
      <w:r>
        <w:t xml:space="preserve">s decisions to procure a notice to quit from </w:t>
      </w:r>
      <w:r w:rsidR="000550F6">
        <w:t>his</w:t>
      </w:r>
      <w:r>
        <w:t xml:space="preserve"> wife and subsequently to commence possession proceedings were taken in accordance with the law and pursued a number of legitimate aims, namely (a) the protection of the rights of the authority as owner of the property with responsibility for the management of its social housing stock; (b) the protection of the rights and freedoms of others on the authority</w:t>
      </w:r>
      <w:r w:rsidR="005F2AA6">
        <w:t>’</w:t>
      </w:r>
      <w:r>
        <w:t>s waiting list to be provided with housing out of the authority</w:t>
      </w:r>
      <w:r w:rsidR="005F2AA6">
        <w:t>’</w:t>
      </w:r>
      <w:r>
        <w:t>s stock of homes to meet their needs</w:t>
      </w:r>
      <w:r w:rsidR="00860C62">
        <w:t>;</w:t>
      </w:r>
      <w:r>
        <w:t xml:space="preserve"> and (c) the promotion of the economic well</w:t>
      </w:r>
      <w:r w:rsidR="001E6CEB">
        <w:noBreakHyphen/>
      </w:r>
      <w:r>
        <w:t xml:space="preserve">being of the country. Furthermore, given that it </w:t>
      </w:r>
      <w:r w:rsidR="009F66CC">
        <w:t>was</w:t>
      </w:r>
      <w:r>
        <w:t xml:space="preserve"> necessary in a democracy to have in place clear and certain rules governing property rights, and in view of the fact that under ordinary property law the authority had an absolute right to recover the property in question, the Government submitted that the interference which arose by virtue of the recognition and implementation of those rights by the courts was “necessary in a democratic society” and proportionate to the legitimate aim pursued.</w:t>
      </w:r>
    </w:p>
    <w:p w:rsidR="00F737E3" w:rsidP="00503D57" w:rsidRDefault="000550F6">
      <w:pPr>
        <w:pStyle w:val="JuPara"/>
      </w:pPr>
      <w:r>
        <w:fldChar w:fldCharType="begin"/>
      </w:r>
      <w:r>
        <w:instrText xml:space="preserve"> SEQ level0 \*arabic </w:instrText>
      </w:r>
      <w:r>
        <w:fldChar w:fldCharType="separate"/>
      </w:r>
      <w:r w:rsidR="005F2AA6">
        <w:rPr>
          <w:noProof/>
        </w:rPr>
        <w:t>40</w:t>
      </w:r>
      <w:r>
        <w:fldChar w:fldCharType="end"/>
      </w:r>
      <w:r>
        <w:t>.  </w:t>
      </w:r>
      <w:r w:rsidR="00EB246D">
        <w:t>According to the Government</w:t>
      </w:r>
      <w:r>
        <w:t>,</w:t>
      </w:r>
      <w:r w:rsidR="00EB246D">
        <w:t xml:space="preserve"> the present case was distinguishable from </w:t>
      </w:r>
      <w:r w:rsidRPr="00536855" w:rsidR="00EB246D">
        <w:rPr>
          <w:i/>
        </w:rPr>
        <w:t>Connors</w:t>
      </w:r>
      <w:r w:rsidR="005E431F">
        <w:t xml:space="preserve"> (cited above, §§ 81-84;</w:t>
      </w:r>
      <w:r w:rsidR="00EB246D">
        <w:t xml:space="preserve"> see further paragraph </w:t>
      </w:r>
      <w:r w:rsidR="00B66245">
        <w:t>49</w:t>
      </w:r>
      <w:r w:rsidR="00EB246D">
        <w:t xml:space="preserve"> below)</w:t>
      </w:r>
      <w:r w:rsidR="00E06626">
        <w:t>, where three key features had led the Court to find a violation of Article 8</w:t>
      </w:r>
      <w:r w:rsidR="00AA2C6E">
        <w:t>: first</w:t>
      </w:r>
      <w:r w:rsidR="00F24007">
        <w:t>ly</w:t>
      </w:r>
      <w:r w:rsidR="00AA2C6E">
        <w:t>,</w:t>
      </w:r>
      <w:r w:rsidR="00E06626">
        <w:t xml:space="preserve"> the vulnerable position of </w:t>
      </w:r>
      <w:r w:rsidR="005E431F">
        <w:t>Roma</w:t>
      </w:r>
      <w:r w:rsidR="00E06626">
        <w:t xml:space="preserve"> as a minority</w:t>
      </w:r>
      <w:r w:rsidR="00F233E8">
        <w:t>, which imposed a positi</w:t>
      </w:r>
      <w:r w:rsidR="00AA2C6E">
        <w:t>ve obligation on the S</w:t>
      </w:r>
      <w:r w:rsidR="00F233E8">
        <w:t>tate to facilitate their way of life</w:t>
      </w:r>
      <w:r w:rsidR="00E06626">
        <w:t xml:space="preserve">; </w:t>
      </w:r>
      <w:r w:rsidRPr="00976739" w:rsidR="00AA2C6E">
        <w:t xml:space="preserve">secondly, </w:t>
      </w:r>
      <w:r w:rsidRPr="00976739" w:rsidR="00E06626">
        <w:t>the absence of procedural protection, which permitted a local authority</w:t>
      </w:r>
      <w:r w:rsidRPr="00976739" w:rsidR="00F233E8">
        <w:t xml:space="preserve"> to remove </w:t>
      </w:r>
      <w:r w:rsidR="005E431F">
        <w:t>Roma</w:t>
      </w:r>
      <w:r w:rsidRPr="00976739" w:rsidR="00F233E8">
        <w:t xml:space="preserve"> from an authorised site without any scrutiny by the courts; </w:t>
      </w:r>
      <w:r w:rsidR="00F233E8">
        <w:t>and</w:t>
      </w:r>
      <w:r w:rsidR="00AA2C6E">
        <w:t>,</w:t>
      </w:r>
      <w:r w:rsidR="00F233E8">
        <w:t xml:space="preserve"> </w:t>
      </w:r>
      <w:r w:rsidR="00AA2C6E">
        <w:t>thirdly,</w:t>
      </w:r>
      <w:r w:rsidR="00F233E8">
        <w:t xml:space="preserve"> the fact that the domestic law discriminated unjustifiably between </w:t>
      </w:r>
      <w:r w:rsidR="005E431F">
        <w:t>Roma</w:t>
      </w:r>
      <w:r w:rsidR="00F233E8">
        <w:t xml:space="preserve"> who resided on private sites and those who resided on local</w:t>
      </w:r>
      <w:r w:rsidR="00C463CE">
        <w:t>-</w:t>
      </w:r>
      <w:r w:rsidR="00F233E8">
        <w:t>authority sites.</w:t>
      </w:r>
      <w:r>
        <w:t xml:space="preserve"> In contrast to the position in </w:t>
      </w:r>
      <w:r>
        <w:rPr>
          <w:i/>
        </w:rPr>
        <w:t>Connors</w:t>
      </w:r>
      <w:r>
        <w:t>, there was no suggestion in the present case that the domestic law of landlord and tenant was itself incompatible with Article 8.</w:t>
      </w:r>
    </w:p>
    <w:p w:rsidR="00F737E3" w:rsidP="00F43C47" w:rsidRDefault="000550F6">
      <w:pPr>
        <w:pStyle w:val="JuPara"/>
      </w:pPr>
      <w:r>
        <w:fldChar w:fldCharType="begin"/>
      </w:r>
      <w:r>
        <w:instrText xml:space="preserve"> SEQ level0 \*arabic </w:instrText>
      </w:r>
      <w:r>
        <w:fldChar w:fldCharType="separate"/>
      </w:r>
      <w:r w:rsidR="005F2AA6">
        <w:rPr>
          <w:noProof/>
        </w:rPr>
        <w:t>41</w:t>
      </w:r>
      <w:r>
        <w:fldChar w:fldCharType="end"/>
      </w:r>
      <w:r>
        <w:t>.  </w:t>
      </w:r>
      <w:r w:rsidR="0090317D">
        <w:t xml:space="preserve">Since, in asking Mrs McCann to sign a notice to quit, the local authority had merely been seeking to regularise the situation which she had created by leaving the house and applying for alternative accommodation, it had been </w:t>
      </w:r>
      <w:r w:rsidR="00DB648F">
        <w:t>appropriate</w:t>
      </w:r>
      <w:r w:rsidR="0090317D">
        <w:t xml:space="preserve"> to ask her to sign the notice and there had been no obligation to explain to her the implications. </w:t>
      </w:r>
      <w:r w:rsidR="00800FA0">
        <w:t>In circumstances where the relationship between joint tenants had broken down, it was the local authority</w:t>
      </w:r>
      <w:r w:rsidR="005F2AA6">
        <w:t>’</w:t>
      </w:r>
      <w:r w:rsidR="00800FA0">
        <w:t xml:space="preserve">s policy to obtain a relinquishing form from the departing tenant (see paragraph </w:t>
      </w:r>
      <w:r w:rsidR="00B66245">
        <w:t>21</w:t>
      </w:r>
      <w:r w:rsidR="00800FA0">
        <w:t xml:space="preserve"> above). This policy was eminently sensible, since it permitted the local</w:t>
      </w:r>
      <w:r w:rsidR="00C463CE">
        <w:t>-</w:t>
      </w:r>
      <w:r w:rsidR="00800FA0">
        <w:t xml:space="preserve">authority landlord to regain control of its property and thus to manage scarce housing resources effectively. </w:t>
      </w:r>
      <w:r w:rsidR="00F43C47">
        <w:t>The procedural protection against the termination of a secure tenancy contained in sections</w:t>
      </w:r>
      <w:r w:rsidR="00C50AE0">
        <w:t> </w:t>
      </w:r>
      <w:r w:rsidR="00F43C47">
        <w:t xml:space="preserve">82-84 of the </w:t>
      </w:r>
      <w:r w:rsidR="000533A9">
        <w:t xml:space="preserve">Housing </w:t>
      </w:r>
      <w:r w:rsidR="00F43C47">
        <w:t xml:space="preserve">Act </w:t>
      </w:r>
      <w:r w:rsidR="000533A9">
        <w:t xml:space="preserve">1985 </w:t>
      </w:r>
      <w:r w:rsidR="00F43C47">
        <w:t xml:space="preserve">(see paragraph </w:t>
      </w:r>
      <w:r w:rsidR="00B66245">
        <w:t>20</w:t>
      </w:r>
      <w:r w:rsidR="00F43C47">
        <w:t xml:space="preserve"> above) were applicable only in circumstances where the landlord was seeking to terminate the tenancy. In the present case, the joint tenancy was brought to an end by the applicant</w:t>
      </w:r>
      <w:r w:rsidR="005F2AA6">
        <w:t>’</w:t>
      </w:r>
      <w:r w:rsidR="00F43C47">
        <w:t>s wife serving notice to quit.</w:t>
      </w:r>
    </w:p>
    <w:p w:rsidR="00543447" w:rsidP="00503D57" w:rsidRDefault="00543447">
      <w:pPr>
        <w:pStyle w:val="JuPara"/>
      </w:pPr>
      <w:r>
        <w:fldChar w:fldCharType="begin"/>
      </w:r>
      <w:r>
        <w:instrText xml:space="preserve"> SEQ level0 \*arabic </w:instrText>
      </w:r>
      <w:r>
        <w:fldChar w:fldCharType="separate"/>
      </w:r>
      <w:r w:rsidR="005F2AA6">
        <w:rPr>
          <w:noProof/>
        </w:rPr>
        <w:t>42</w:t>
      </w:r>
      <w:r>
        <w:fldChar w:fldCharType="end"/>
      </w:r>
      <w:r>
        <w:t>.  </w:t>
      </w:r>
      <w:r w:rsidR="006A3764">
        <w:t>Given that</w:t>
      </w:r>
      <w:r w:rsidR="0003257F">
        <w:t xml:space="preserve"> the applicant</w:t>
      </w:r>
      <w:r w:rsidR="005F2AA6">
        <w:t>’</w:t>
      </w:r>
      <w:r w:rsidR="0003257F">
        <w:t>s central allegation was that the local authority had acted improperly in obtaining the notice to quit from Mrs</w:t>
      </w:r>
      <w:r w:rsidR="00C50AE0">
        <w:t> </w:t>
      </w:r>
      <w:r w:rsidR="0003257F">
        <w:t>McCann, judicial review provided an appropriate and adequate remedy</w:t>
      </w:r>
      <w:r w:rsidR="006A3764">
        <w:t>, to which the applicant had had access</w:t>
      </w:r>
      <w:r w:rsidR="0003257F">
        <w:t>.</w:t>
      </w:r>
      <w:r w:rsidR="002F4FDD">
        <w:t xml:space="preserve"> </w:t>
      </w:r>
      <w:r w:rsidR="006A3764">
        <w:t>Moreover, it was now clear from the House of Lords</w:t>
      </w:r>
      <w:r w:rsidR="005F2AA6">
        <w:t>’</w:t>
      </w:r>
      <w:r w:rsidR="006A3764">
        <w:t xml:space="preserve"> decision in </w:t>
      </w:r>
      <w:r w:rsidR="006A3764">
        <w:rPr>
          <w:i/>
        </w:rPr>
        <w:t xml:space="preserve">Kay </w:t>
      </w:r>
      <w:r w:rsidR="006A3764">
        <w:t>(see paragraph</w:t>
      </w:r>
      <w:r w:rsidR="00B66245">
        <w:t>s</w:t>
      </w:r>
      <w:r w:rsidR="006A3764">
        <w:t xml:space="preserve"> </w:t>
      </w:r>
      <w:r w:rsidR="00B66245">
        <w:t>26-28</w:t>
      </w:r>
      <w:r w:rsidR="006A3764">
        <w:t xml:space="preserve"> above) </w:t>
      </w:r>
      <w:r w:rsidR="00124600">
        <w:t>that an individual in the applicant</w:t>
      </w:r>
      <w:r w:rsidR="005F2AA6">
        <w:t>’</w:t>
      </w:r>
      <w:r w:rsidR="00124600">
        <w:t xml:space="preserve">s position would not need to commence proceedings by way of judicial review in order to raise this kind of public law challenge; such objections could </w:t>
      </w:r>
      <w:r w:rsidR="000A03B5">
        <w:t>now be raised by way of collateral challenge to possession proceedings in the County Court.</w:t>
      </w:r>
      <w:r w:rsidR="008F4408">
        <w:t xml:space="preserve"> The clarification in </w:t>
      </w:r>
      <w:r w:rsidR="008F4408">
        <w:rPr>
          <w:i/>
        </w:rPr>
        <w:t xml:space="preserve">Kay </w:t>
      </w:r>
      <w:r w:rsidR="008F4408">
        <w:t>served to underline the extent of the procedural protection provided to individuals in the applicant</w:t>
      </w:r>
      <w:r w:rsidR="005F2AA6">
        <w:t>’</w:t>
      </w:r>
      <w:r w:rsidR="008F4408">
        <w:t xml:space="preserve">s position. In this respect the present case was clearly distinguishable from </w:t>
      </w:r>
      <w:r w:rsidR="008F4408">
        <w:rPr>
          <w:i/>
        </w:rPr>
        <w:t>Connors</w:t>
      </w:r>
      <w:r w:rsidR="008F4408">
        <w:t xml:space="preserve">, </w:t>
      </w:r>
      <w:r w:rsidR="00D01678">
        <w:t>where the applicant</w:t>
      </w:r>
      <w:r w:rsidR="005F2AA6">
        <w:t>’</w:t>
      </w:r>
      <w:r w:rsidR="00D01678">
        <w:t>s contentions (that he was not responsible for the alleged antisocial behaviour) did not relate to abuse of power by the local authority and where he was refused leave to apply for judicial review.</w:t>
      </w:r>
    </w:p>
    <w:p w:rsidRPr="000550F6" w:rsidR="000550F6" w:rsidP="000550F6" w:rsidRDefault="000550F6">
      <w:pPr>
        <w:pStyle w:val="JuH1"/>
      </w:pPr>
      <w:r>
        <w:t>2.</w:t>
      </w:r>
      <w:r w:rsidR="009578FF">
        <w:t>  </w:t>
      </w:r>
      <w:r>
        <w:t>The applicant</w:t>
      </w:r>
    </w:p>
    <w:p w:rsidRPr="002637F0" w:rsidR="002635FF" w:rsidP="00503D57" w:rsidRDefault="000E0A61">
      <w:pPr>
        <w:pStyle w:val="JuPara"/>
      </w:pPr>
      <w:r>
        <w:fldChar w:fldCharType="begin"/>
      </w:r>
      <w:r>
        <w:instrText xml:space="preserve"> SEQ level0 \*arabic </w:instrText>
      </w:r>
      <w:r>
        <w:fldChar w:fldCharType="separate"/>
      </w:r>
      <w:r w:rsidR="005F2AA6">
        <w:rPr>
          <w:noProof/>
        </w:rPr>
        <w:t>43</w:t>
      </w:r>
      <w:r>
        <w:fldChar w:fldCharType="end"/>
      </w:r>
      <w:r>
        <w:t>.  </w:t>
      </w:r>
      <w:r w:rsidR="00C45E20">
        <w:t>The applicant maintained that the manner in which the notice to quit was obtained rendered his eviction an unjustified violation of his right</w:t>
      </w:r>
      <w:r w:rsidR="00A63C7F">
        <w:t xml:space="preserve"> to respect for his home. Article 8 was engaged because Mrs McCann would not have served the notice to quit except at the request of the local authority</w:t>
      </w:r>
      <w:r w:rsidR="00F737E3">
        <w:t xml:space="preserve"> </w:t>
      </w:r>
      <w:r w:rsidR="00A63C7F">
        <w:t>housing officer, and the local authority knew</w:t>
      </w:r>
      <w:r w:rsidR="002635FF">
        <w:t xml:space="preserve"> </w:t>
      </w:r>
      <w:r w:rsidR="00A63C7F">
        <w:t xml:space="preserve">that the notice would have the effect of bringing the joint tenancy to an end without any opportunity for the applicant effectively to challenge the loss of his home. Moreover, the </w:t>
      </w:r>
      <w:r w:rsidR="002F4FDD">
        <w:t>termination</w:t>
      </w:r>
      <w:r w:rsidR="00A63C7F">
        <w:t xml:space="preserve"> of the tenancy </w:t>
      </w:r>
      <w:r w:rsidR="00860C62">
        <w:t>a</w:t>
      </w:r>
      <w:r w:rsidR="00A63C7F">
        <w:t>ffected the applicant</w:t>
      </w:r>
      <w:r w:rsidR="005F2AA6">
        <w:t>’</w:t>
      </w:r>
      <w:r w:rsidR="00A63C7F">
        <w:t>s relationship with his children who stayed with him three nights a week.</w:t>
      </w:r>
      <w:r w:rsidR="00551316">
        <w:t xml:space="preserve"> </w:t>
      </w:r>
      <w:r w:rsidRPr="002637F0" w:rsidR="00551316">
        <w:t>In deciding to ask Mrs</w:t>
      </w:r>
      <w:r w:rsidR="00C50AE0">
        <w:t> </w:t>
      </w:r>
      <w:r w:rsidRPr="002637F0" w:rsidR="00551316">
        <w:t xml:space="preserve">McCann </w:t>
      </w:r>
      <w:r w:rsidR="005C3509">
        <w:t>to sign</w:t>
      </w:r>
      <w:r w:rsidRPr="002637F0" w:rsidR="005C3509">
        <w:t xml:space="preserve"> </w:t>
      </w:r>
      <w:r w:rsidRPr="002637F0" w:rsidR="00551316">
        <w:t>the notice to quit, the local authority gave no consideration whatsoever to the applicant</w:t>
      </w:r>
      <w:r w:rsidR="005F2AA6">
        <w:t>’</w:t>
      </w:r>
      <w:r w:rsidRPr="002637F0" w:rsidR="00551316">
        <w:t>s rights under Article 8.</w:t>
      </w:r>
    </w:p>
    <w:p w:rsidR="000E0A61" w:rsidP="00503D57" w:rsidRDefault="002635FF">
      <w:pPr>
        <w:pStyle w:val="JuPara"/>
      </w:pPr>
      <w:r>
        <w:fldChar w:fldCharType="begin"/>
      </w:r>
      <w:r>
        <w:instrText xml:space="preserve"> SEQ level0 \*arabic </w:instrText>
      </w:r>
      <w:r>
        <w:fldChar w:fldCharType="separate"/>
      </w:r>
      <w:r w:rsidR="005F2AA6">
        <w:rPr>
          <w:noProof/>
        </w:rPr>
        <w:t>44</w:t>
      </w:r>
      <w:r>
        <w:fldChar w:fldCharType="end"/>
      </w:r>
      <w:r>
        <w:t>.  </w:t>
      </w:r>
      <w:r w:rsidR="00551316">
        <w:t>T</w:t>
      </w:r>
      <w:r w:rsidR="00C45E20">
        <w:t xml:space="preserve">he only time any court had scrutinised the applicable Convention considerations, </w:t>
      </w:r>
      <w:r w:rsidR="00CB6ADB">
        <w:t>it</w:t>
      </w:r>
      <w:r w:rsidR="00C45E20">
        <w:t xml:space="preserve"> had </w:t>
      </w:r>
      <w:r w:rsidR="00CB6ADB">
        <w:t xml:space="preserve">found that </w:t>
      </w:r>
      <w:r w:rsidR="00551316">
        <w:t>the applicant</w:t>
      </w:r>
      <w:r w:rsidR="005F2AA6">
        <w:t>’</w:t>
      </w:r>
      <w:r w:rsidR="00551316">
        <w:t>s</w:t>
      </w:r>
      <w:r w:rsidR="00CB6ADB">
        <w:t xml:space="preserve"> right to respect for his home had not been sufficiently respected</w:t>
      </w:r>
      <w:r w:rsidR="00C45E20">
        <w:t xml:space="preserve">. However, this decision by the County Court was overturned on appeal, </w:t>
      </w:r>
      <w:r w:rsidR="009037BC">
        <w:t>in the light of the House of Lords</w:t>
      </w:r>
      <w:r w:rsidR="005F2AA6">
        <w:t>’</w:t>
      </w:r>
      <w:r w:rsidR="009037BC">
        <w:t xml:space="preserve"> judgment in </w:t>
      </w:r>
      <w:proofErr w:type="spellStart"/>
      <w:r w:rsidR="009037BC">
        <w:rPr>
          <w:i/>
        </w:rPr>
        <w:t>Qazi</w:t>
      </w:r>
      <w:proofErr w:type="spellEnd"/>
      <w:r w:rsidR="009037BC">
        <w:t>, and the applicant</w:t>
      </w:r>
      <w:r w:rsidR="005F2AA6">
        <w:t>’</w:t>
      </w:r>
      <w:r w:rsidR="009037BC">
        <w:t>s subsequent request for judicial review was rejected because the Court of Appeal had previously determined the issue.</w:t>
      </w:r>
    </w:p>
    <w:p w:rsidR="00F737E3" w:rsidP="00503D57" w:rsidRDefault="002F1948">
      <w:pPr>
        <w:pStyle w:val="JuPara"/>
      </w:pPr>
      <w:r w:rsidRPr="002637F0">
        <w:fldChar w:fldCharType="begin"/>
      </w:r>
      <w:r w:rsidRPr="002637F0">
        <w:instrText xml:space="preserve"> SEQ level0 \*arabic </w:instrText>
      </w:r>
      <w:r w:rsidRPr="002637F0">
        <w:fldChar w:fldCharType="separate"/>
      </w:r>
      <w:r w:rsidR="005F2AA6">
        <w:rPr>
          <w:noProof/>
        </w:rPr>
        <w:t>45</w:t>
      </w:r>
      <w:r w:rsidRPr="002637F0">
        <w:fldChar w:fldCharType="end"/>
      </w:r>
      <w:r w:rsidRPr="002637F0">
        <w:t>.  </w:t>
      </w:r>
      <w:r w:rsidRPr="002637F0" w:rsidR="00FE1EEB">
        <w:t xml:space="preserve">In proceedings under </w:t>
      </w:r>
      <w:r w:rsidRPr="002637F0" w:rsidR="00FC7936">
        <w:t xml:space="preserve">sections 82-84 of the Housing Act 1985 (see paragraph </w:t>
      </w:r>
      <w:r w:rsidR="00611DA1">
        <w:t>20</w:t>
      </w:r>
      <w:r w:rsidRPr="002637F0" w:rsidR="00FC7936">
        <w:t xml:space="preserve"> above)</w:t>
      </w:r>
      <w:r w:rsidRPr="002637F0" w:rsidR="00FE1EEB">
        <w:t>, the County Court must examine and determine all issues of fact</w:t>
      </w:r>
      <w:r w:rsidRPr="002637F0" w:rsidR="00FC7936">
        <w:t xml:space="preserve"> and can grant possession to the landlord only where it “considers it reasonable to do so”. The local authority</w:t>
      </w:r>
      <w:r w:rsidR="005F2AA6">
        <w:t>’</w:t>
      </w:r>
      <w:r w:rsidRPr="002637F0" w:rsidR="00FC7936">
        <w:t>s actions in obtaining the wife</w:t>
      </w:r>
      <w:r w:rsidR="005F2AA6">
        <w:t>’</w:t>
      </w:r>
      <w:r w:rsidRPr="002637F0" w:rsidR="00FC7936">
        <w:t xml:space="preserve">s notice to quit had, in effect, </w:t>
      </w:r>
      <w:r w:rsidRPr="002637F0" w:rsidR="00FE60C1">
        <w:t>bypassed</w:t>
      </w:r>
      <w:r w:rsidRPr="002637F0" w:rsidR="00FC7936">
        <w:t xml:space="preserve"> this statutory scheme, which Parliament had created to protect tenants such as the applicant.</w:t>
      </w:r>
      <w:r w:rsidRPr="002637F0" w:rsidR="009759D6">
        <w:t xml:space="preserve"> While accepting that it would be rare for possession to be refused to the landlord on Article 8 grounds, the applicant contended that to exclude the possibility of individual circumstances rendering an eviction disproportionate was to deprive the Convention of any effect.</w:t>
      </w:r>
    </w:p>
    <w:p w:rsidR="00503D57" w:rsidP="00503D57" w:rsidRDefault="00503D57">
      <w:pPr>
        <w:pStyle w:val="JuHA"/>
      </w:pPr>
      <w:r>
        <w:t>B.</w:t>
      </w:r>
      <w:r w:rsidR="00C50AE0">
        <w:t>  </w:t>
      </w:r>
      <w:r>
        <w:t>The Court</w:t>
      </w:r>
      <w:r w:rsidR="005F2AA6">
        <w:t>’</w:t>
      </w:r>
      <w:r>
        <w:t>s assessment</w:t>
      </w:r>
    </w:p>
    <w:p w:rsidR="00F737E3" w:rsidP="00EF22D1" w:rsidRDefault="00E535DC">
      <w:pPr>
        <w:pStyle w:val="JuPara"/>
      </w:pPr>
      <w:r>
        <w:fldChar w:fldCharType="begin"/>
      </w:r>
      <w:r>
        <w:instrText xml:space="preserve"> SEQ level0 \*arabic </w:instrText>
      </w:r>
      <w:r>
        <w:fldChar w:fldCharType="separate"/>
      </w:r>
      <w:r w:rsidR="005F2AA6">
        <w:rPr>
          <w:noProof/>
        </w:rPr>
        <w:t>46</w:t>
      </w:r>
      <w:r>
        <w:fldChar w:fldCharType="end"/>
      </w:r>
      <w:r>
        <w:t>.  </w:t>
      </w:r>
      <w:r w:rsidRPr="00536855" w:rsidR="00EF22D1">
        <w:t xml:space="preserve">The Court has noted on a number of occasions that whether </w:t>
      </w:r>
      <w:r w:rsidR="00EF22D1">
        <w:t>a property</w:t>
      </w:r>
      <w:r w:rsidRPr="00536855" w:rsidR="00EF22D1">
        <w:t xml:space="preserve"> is to be classified as</w:t>
      </w:r>
      <w:r w:rsidR="00EF22D1">
        <w:t xml:space="preserve"> a</w:t>
      </w:r>
      <w:r w:rsidRPr="00536855" w:rsidR="00EF22D1">
        <w:t xml:space="preserve"> “home” is a question of fact </w:t>
      </w:r>
      <w:r w:rsidR="00EF22D1">
        <w:t>and does not depend on the lawfulness of the occupation under domestic law</w:t>
      </w:r>
      <w:r w:rsidRPr="00536855" w:rsidR="00EF22D1">
        <w:t xml:space="preserve"> (see, for example,</w:t>
      </w:r>
      <w:r w:rsidRPr="00536855" w:rsidR="00EF22D1">
        <w:rPr>
          <w:i/>
        </w:rPr>
        <w:t xml:space="preserve"> Buckley v.</w:t>
      </w:r>
      <w:r w:rsidR="005F19AE">
        <w:rPr>
          <w:i/>
        </w:rPr>
        <w:t xml:space="preserve"> </w:t>
      </w:r>
      <w:r w:rsidRPr="00536855" w:rsidR="00EF22D1">
        <w:rPr>
          <w:i/>
        </w:rPr>
        <w:t>the United Kingdom</w:t>
      </w:r>
      <w:r w:rsidRPr="00536855" w:rsidR="00EF22D1">
        <w:t>, 25</w:t>
      </w:r>
      <w:r w:rsidR="005F19AE">
        <w:t xml:space="preserve"> </w:t>
      </w:r>
      <w:r w:rsidRPr="00536855" w:rsidR="00EF22D1">
        <w:t xml:space="preserve">September 1996, </w:t>
      </w:r>
      <w:r w:rsidRPr="001F5D82" w:rsidR="001F5D82">
        <w:t>§ 54</w:t>
      </w:r>
      <w:r w:rsidR="001F5D82">
        <w:t xml:space="preserve">, </w:t>
      </w:r>
      <w:r w:rsidRPr="00536855" w:rsidR="00EF22D1">
        <w:rPr>
          <w:i/>
        </w:rPr>
        <w:t>Reports of Judgments and Decisions</w:t>
      </w:r>
      <w:r w:rsidRPr="00536855" w:rsidR="00EF22D1">
        <w:t xml:space="preserve"> 1996</w:t>
      </w:r>
      <w:r w:rsidR="001F5D82">
        <w:t>-</w:t>
      </w:r>
      <w:r w:rsidRPr="00536855" w:rsidR="00EF22D1">
        <w:t xml:space="preserve">IV, in which the applicant had lived on her own land without planning permission for a period of some eight years). In the present case, </w:t>
      </w:r>
      <w:r w:rsidR="00DC0182">
        <w:t>it was found by the national courts and accepted by the parties that the local</w:t>
      </w:r>
      <w:r w:rsidR="00804D29">
        <w:t>-</w:t>
      </w:r>
      <w:r w:rsidR="00DC0182">
        <w:t>authority house wh</w:t>
      </w:r>
      <w:r w:rsidR="00860C62">
        <w:t>ich</w:t>
      </w:r>
      <w:r w:rsidR="00DC0182">
        <w:t xml:space="preserve"> the applicant formerly occupied as a joint tenant with his wife and where he lived on his own from </w:t>
      </w:r>
      <w:r w:rsidRPr="00DC0182" w:rsidR="00DC0182">
        <w:t>November 2001</w:t>
      </w:r>
      <w:r w:rsidR="00DC0182">
        <w:t xml:space="preserve"> continued to be his “home”, within the meaning of Article</w:t>
      </w:r>
      <w:r w:rsidR="00804D29">
        <w:t> </w:t>
      </w:r>
      <w:r w:rsidR="00DC0182">
        <w:t>8 §</w:t>
      </w:r>
      <w:r w:rsidR="005F19AE">
        <w:t xml:space="preserve"> </w:t>
      </w:r>
      <w:r w:rsidR="00DC0182">
        <w:t>1, despite the fact that following service by</w:t>
      </w:r>
      <w:r w:rsidR="00804D29">
        <w:t xml:space="preserve"> his</w:t>
      </w:r>
      <w:r w:rsidR="00DC0182">
        <w:t xml:space="preserve"> wife of notice to quit he had no right under domestic law to continue in occupation. The Court agrees with this analysis.</w:t>
      </w:r>
    </w:p>
    <w:p w:rsidRPr="00536855" w:rsidR="00386132" w:rsidP="00386132" w:rsidRDefault="00386132">
      <w:pPr>
        <w:pStyle w:val="JuPara"/>
      </w:pPr>
      <w:r>
        <w:fldChar w:fldCharType="begin"/>
      </w:r>
      <w:r>
        <w:instrText xml:space="preserve"> SEQ level0 \*arabic </w:instrText>
      </w:r>
      <w:r>
        <w:fldChar w:fldCharType="separate"/>
      </w:r>
      <w:r w:rsidR="005F2AA6">
        <w:rPr>
          <w:noProof/>
        </w:rPr>
        <w:t>47</w:t>
      </w:r>
      <w:r>
        <w:fldChar w:fldCharType="end"/>
      </w:r>
      <w:r>
        <w:t>.  </w:t>
      </w:r>
      <w:r w:rsidR="00EF22D1">
        <w:t xml:space="preserve">It </w:t>
      </w:r>
      <w:r>
        <w:t>was</w:t>
      </w:r>
      <w:r w:rsidR="00EF22D1">
        <w:t xml:space="preserve"> further agreed that</w:t>
      </w:r>
      <w:r w:rsidR="00860C62">
        <w:t xml:space="preserve"> the</w:t>
      </w:r>
      <w:r w:rsidR="00EF22D1">
        <w:t xml:space="preserve"> </w:t>
      </w:r>
      <w:r w:rsidRPr="00536855">
        <w:t>effect of the notice to quit</w:t>
      </w:r>
      <w:r w:rsidR="00804D29">
        <w:t>,</w:t>
      </w:r>
      <w:r w:rsidRPr="00536855">
        <w:t xml:space="preserve"> which was served by the applicant</w:t>
      </w:r>
      <w:r w:rsidR="005F2AA6">
        <w:t>’</w:t>
      </w:r>
      <w:r w:rsidRPr="00536855">
        <w:t>s wife on the local authorit</w:t>
      </w:r>
      <w:r>
        <w:t>y, together with the possession</w:t>
      </w:r>
      <w:r w:rsidRPr="00536855">
        <w:t xml:space="preserve"> proceedings which the local authority brought, was to interfere with the applicant</w:t>
      </w:r>
      <w:r w:rsidR="005F2AA6">
        <w:t>’</w:t>
      </w:r>
      <w:r w:rsidRPr="00536855">
        <w:t>s right to respect for his home.</w:t>
      </w:r>
    </w:p>
    <w:p w:rsidRPr="00536855" w:rsidR="00476C0D" w:rsidP="00476C0D" w:rsidRDefault="00601F55">
      <w:pPr>
        <w:pStyle w:val="JuPara"/>
      </w:pPr>
      <w:r>
        <w:fldChar w:fldCharType="begin"/>
      </w:r>
      <w:r>
        <w:instrText xml:space="preserve"> SEQ level0 \*arabic </w:instrText>
      </w:r>
      <w:r>
        <w:fldChar w:fldCharType="separate"/>
      </w:r>
      <w:r w:rsidR="005F2AA6">
        <w:rPr>
          <w:noProof/>
        </w:rPr>
        <w:t>48</w:t>
      </w:r>
      <w:r>
        <w:fldChar w:fldCharType="end"/>
      </w:r>
      <w:r>
        <w:t>.  </w:t>
      </w:r>
      <w:r w:rsidR="00386132">
        <w:t>The Court considers that t</w:t>
      </w:r>
      <w:r w:rsidR="00E535DC">
        <w:t xml:space="preserve">his interference was in accordance with the law and pursued the legitimate aim </w:t>
      </w:r>
      <w:r w:rsidRPr="00536855" w:rsidR="00476C0D">
        <w:t>of protecting the rights and freedoms of others in two respects. First</w:t>
      </w:r>
      <w:r w:rsidR="007D652D">
        <w:t>ly</w:t>
      </w:r>
      <w:r w:rsidRPr="00536855" w:rsidR="00476C0D">
        <w:t>, it protected the local authority</w:t>
      </w:r>
      <w:r w:rsidR="005F2AA6">
        <w:t>’</w:t>
      </w:r>
      <w:r w:rsidRPr="00536855" w:rsidR="00476C0D">
        <w:t xml:space="preserve">s right to </w:t>
      </w:r>
      <w:r w:rsidR="00386132">
        <w:t xml:space="preserve">regain possession of the </w:t>
      </w:r>
      <w:r w:rsidRPr="00536855" w:rsidR="00476C0D">
        <w:t xml:space="preserve">property against an individual who had no contractual or other right to be there. The domestic courts laid considerable emphasis on this aspect, which applies equally to all landlords who are trying to repossess property. However, the interference also pursued the aim of ensuring that the statutory scheme for housing provision was properly applied. The “others” in such a case are the intended beneficiaries of the complex arrangements set up by, among others, the Housing Acts. The Court accepts that it is only by limiting the protection of the Acts to the categories to which it applies that the policy underlying the Acts can sensibly </w:t>
      </w:r>
      <w:r w:rsidR="00476C0D">
        <w:t xml:space="preserve">be </w:t>
      </w:r>
      <w:r w:rsidRPr="00536855" w:rsidR="00476C0D">
        <w:t>implemented.</w:t>
      </w:r>
    </w:p>
    <w:p w:rsidR="00D72A38" w:rsidP="009C503B" w:rsidRDefault="00476C0D">
      <w:pPr>
        <w:pStyle w:val="JuPara"/>
      </w:pPr>
      <w:r>
        <w:fldChar w:fldCharType="begin"/>
      </w:r>
      <w:r>
        <w:instrText xml:space="preserve"> SEQ level0 \*arabic </w:instrText>
      </w:r>
      <w:r>
        <w:fldChar w:fldCharType="separate"/>
      </w:r>
      <w:r w:rsidR="005F2AA6">
        <w:rPr>
          <w:noProof/>
        </w:rPr>
        <w:t>49</w:t>
      </w:r>
      <w:r>
        <w:fldChar w:fldCharType="end"/>
      </w:r>
      <w:r>
        <w:t>.  </w:t>
      </w:r>
      <w:r w:rsidR="00E535DC">
        <w:t>The central question in this case is, therefore, whether the interference was proportionate to the aim pursued and thus “necessary in a democratic society”.</w:t>
      </w:r>
      <w:r w:rsidR="00AA3230">
        <w:t xml:space="preserve"> </w:t>
      </w:r>
      <w:r>
        <w:t xml:space="preserve">It must be </w:t>
      </w:r>
      <w:r w:rsidR="007D652D">
        <w:t>noted</w:t>
      </w:r>
      <w:r>
        <w:t xml:space="preserve"> that </w:t>
      </w:r>
      <w:r w:rsidR="00E535DC">
        <w:t>this requirement under Article</w:t>
      </w:r>
      <w:r w:rsidR="005D6B02">
        <w:t> </w:t>
      </w:r>
      <w:r w:rsidR="00E535DC">
        <w:t>8</w:t>
      </w:r>
      <w:r w:rsidR="005D6B02">
        <w:t> </w:t>
      </w:r>
      <w:r w:rsidR="00B65467">
        <w:t>§</w:t>
      </w:r>
      <w:r w:rsidR="005D6B02">
        <w:t> </w:t>
      </w:r>
      <w:r w:rsidR="00B65467">
        <w:t xml:space="preserve">2 of the Convention </w:t>
      </w:r>
      <w:r w:rsidR="00E535DC">
        <w:t xml:space="preserve">raises a question of procedure as well as one of substance. </w:t>
      </w:r>
      <w:r w:rsidR="00D72A38">
        <w:t>The Co</w:t>
      </w:r>
      <w:r w:rsidRPr="00536855" w:rsidR="009C503B">
        <w:t xml:space="preserve">urt set out the relevant principles in assessing the necessity of an interference with the right to “home” by the application of summary possession proceedings in the case of </w:t>
      </w:r>
      <w:r w:rsidRPr="00536855" w:rsidR="009C503B">
        <w:rPr>
          <w:i/>
        </w:rPr>
        <w:t>Connors</w:t>
      </w:r>
      <w:r w:rsidRPr="00536855" w:rsidR="009C503B">
        <w:t xml:space="preserve"> (</w:t>
      </w:r>
      <w:r w:rsidR="007D652D">
        <w:t xml:space="preserve">cited above, </w:t>
      </w:r>
      <w:r w:rsidRPr="00536855" w:rsidR="009C503B">
        <w:t>§§</w:t>
      </w:r>
      <w:r w:rsidR="007D652D">
        <w:t> </w:t>
      </w:r>
      <w:r w:rsidRPr="00536855" w:rsidR="009C503B">
        <w:t>81</w:t>
      </w:r>
      <w:r w:rsidR="00B65467">
        <w:t>-</w:t>
      </w:r>
      <w:r w:rsidRPr="00536855" w:rsidR="009C503B">
        <w:t>84)</w:t>
      </w:r>
      <w:r w:rsidR="00D72A38">
        <w:t xml:space="preserve">, </w:t>
      </w:r>
      <w:r w:rsidR="00794F22">
        <w:t>which was decided subsequent to the House of Lords</w:t>
      </w:r>
      <w:r w:rsidR="005F2AA6">
        <w:t>’</w:t>
      </w:r>
      <w:r w:rsidR="00794F22">
        <w:t xml:space="preserve"> judgment in </w:t>
      </w:r>
      <w:proofErr w:type="spellStart"/>
      <w:r w:rsidR="00794F22">
        <w:rPr>
          <w:i/>
        </w:rPr>
        <w:t>Qazi</w:t>
      </w:r>
      <w:proofErr w:type="spellEnd"/>
      <w:r w:rsidR="00794F22">
        <w:rPr>
          <w:i/>
        </w:rPr>
        <w:t xml:space="preserve"> </w:t>
      </w:r>
      <w:r w:rsidR="00794F22">
        <w:t>(see paragraph</w:t>
      </w:r>
      <w:r w:rsidR="00611DA1">
        <w:t>s 22-25</w:t>
      </w:r>
      <w:r w:rsidR="00794F22">
        <w:t xml:space="preserve"> above), </w:t>
      </w:r>
      <w:r w:rsidR="00AA3230">
        <w:t xml:space="preserve">but before its decision in </w:t>
      </w:r>
      <w:r w:rsidR="00AA3230">
        <w:rPr>
          <w:i/>
        </w:rPr>
        <w:t xml:space="preserve">Kay </w:t>
      </w:r>
      <w:r w:rsidR="00AA3230">
        <w:t>(see paragraph</w:t>
      </w:r>
      <w:r w:rsidR="00611DA1">
        <w:t>s 26-28</w:t>
      </w:r>
      <w:r w:rsidR="00AA3230">
        <w:t xml:space="preserve"> above), </w:t>
      </w:r>
      <w:r w:rsidR="00D72A38">
        <w:t>as follows:</w:t>
      </w:r>
    </w:p>
    <w:p w:rsidR="00715EF2" w:rsidP="00D72A38" w:rsidRDefault="00715EF2">
      <w:pPr>
        <w:pStyle w:val="JuQuot"/>
      </w:pPr>
      <w:r>
        <w:t>“</w:t>
      </w:r>
      <w:r w:rsidR="00D72A38">
        <w:t>81.</w:t>
      </w:r>
      <w:r w:rsidR="00C40817">
        <w:t>  </w:t>
      </w:r>
      <w:r w:rsidR="00D72A38">
        <w:t>An i</w:t>
      </w:r>
      <w:r>
        <w:t xml:space="preserve">nterference will be considered </w:t>
      </w:r>
      <w:r w:rsidR="005F2AA6">
        <w:t>‘</w:t>
      </w:r>
      <w:r w:rsidR="00D72A38">
        <w:t>ne</w:t>
      </w:r>
      <w:r>
        <w:t>cessary in a democratic society</w:t>
      </w:r>
      <w:r w:rsidR="005F2AA6">
        <w:t>’</w:t>
      </w:r>
      <w:r w:rsidR="00D72A38">
        <w:t xml:space="preserve"> for a </w:t>
      </w:r>
      <w:r>
        <w:t xml:space="preserve">legitimate aim if it answers a </w:t>
      </w:r>
      <w:r w:rsidR="005F2AA6">
        <w:t>‘</w:t>
      </w:r>
      <w:r>
        <w:t>pressing social need</w:t>
      </w:r>
      <w:r w:rsidR="005F2AA6">
        <w:t>’</w:t>
      </w:r>
      <w:r w:rsidR="00D72A38">
        <w:t xml:space="preserve"> and, in particular, if it is proportionate to the legitimate aim pursued. While it is for the national authorities to make the initial assessment of necessity, the final evaluation as to whether the reasons cited for the interference are relevant and sufficient remains subject to review by the Court for conformity with the requirements of the Convention </w:t>
      </w:r>
      <w:r w:rsidR="00776D6F">
        <w:t>...</w:t>
      </w:r>
    </w:p>
    <w:p w:rsidR="00D72A38" w:rsidP="00715EF2" w:rsidRDefault="00D72A38">
      <w:pPr>
        <w:pStyle w:val="JuQuot"/>
      </w:pPr>
      <w:r>
        <w:t>82.</w:t>
      </w:r>
      <w:r w:rsidR="00C40817">
        <w:t>  </w:t>
      </w:r>
      <w:r>
        <w:t>In this regard, a margin of appreciation must, inevitably, be left to the national authorities, who by reason of their direct and continuous contact with the vital forces of their countries are in principle better placed than an international court to evaluate local needs and conditions. This margin will vary according to the nature of the Convention right in issue, its importance for the individual and the nature of the activities restricted, as well as the nature of the aim pursued by the restrictions. The margin will tend to be narrower where the right at stake is crucial to the individual</w:t>
      </w:r>
      <w:r w:rsidR="005F2AA6">
        <w:t>’</w:t>
      </w:r>
      <w:r>
        <w:t>s effective enjoyment of intimate or key rights</w:t>
      </w:r>
      <w:r w:rsidR="00715EF2">
        <w:t xml:space="preserve"> </w:t>
      </w:r>
      <w:r w:rsidR="00776D6F">
        <w:t>...</w:t>
      </w:r>
      <w:r w:rsidR="00715EF2">
        <w:t xml:space="preserve"> </w:t>
      </w:r>
      <w:r>
        <w:t xml:space="preserve">On the other hand, in spheres involving the application of social or economic policies, there is authority that the margin of appreciation is wide, as in the planning context </w:t>
      </w:r>
      <w:r w:rsidR="00715EF2">
        <w:t xml:space="preserve">where the Court has found that </w:t>
      </w:r>
      <w:r w:rsidR="005F2AA6">
        <w:t>‘</w:t>
      </w:r>
      <w:r>
        <w:t>[</w:t>
      </w:r>
      <w:proofErr w:type="spellStart"/>
      <w:r>
        <w:t>i</w:t>
      </w:r>
      <w:proofErr w:type="spellEnd"/>
      <w:r>
        <w:t>]n so far as the exercise of discretion involving a multitude of local factors is inherent in the choice and implementation of planning policies, the national authorities in principle enjoy a wide margin of appreciation</w:t>
      </w:r>
      <w:r w:rsidR="005F2AA6">
        <w:t>’</w:t>
      </w:r>
      <w:r w:rsidR="00715EF2">
        <w:t xml:space="preserve"> </w:t>
      </w:r>
      <w:r w:rsidR="00776D6F">
        <w:t>...</w:t>
      </w:r>
      <w:r w:rsidR="00715EF2">
        <w:t xml:space="preserve"> </w:t>
      </w:r>
      <w:r>
        <w:t>The Court has also stated that in spheres such as housing, which play a central role in the welfare and economic policies of modern societies, it will respect the legislature</w:t>
      </w:r>
      <w:r w:rsidR="005F2AA6">
        <w:t>’</w:t>
      </w:r>
      <w:r>
        <w:t xml:space="preserve">s judgment as to what is in the general interest unless that judgment is manifestly without reasonable foundation </w:t>
      </w:r>
      <w:r w:rsidR="00776D6F">
        <w:t>...</w:t>
      </w:r>
      <w:r w:rsidR="00715EF2">
        <w:t xml:space="preserve"> </w:t>
      </w:r>
      <w:r>
        <w:t>It may be noted however that this was in the context of Article 1 of Protocol No. 1, not Article 8 which concerns rights of central importance to the individual</w:t>
      </w:r>
      <w:r w:rsidR="005F2AA6">
        <w:t>’</w:t>
      </w:r>
      <w:r>
        <w:t xml:space="preserve">s identity, self-determination, physical and moral integrity, maintenance of relationships with others and a settled and secure place in the community </w:t>
      </w:r>
      <w:r w:rsidR="00776D6F">
        <w:t>...</w:t>
      </w:r>
      <w:r w:rsidR="00715EF2">
        <w:t xml:space="preserve"> </w:t>
      </w:r>
      <w:r>
        <w:t xml:space="preserve">Where general social and economic policy considerations have arisen in the context of Article 8 itself, the scope of the margin of appreciation depends on the context of the case, with particular significance attaching to the extent of the intrusion into the personal sphere of the applicant </w:t>
      </w:r>
      <w:r w:rsidR="00776D6F">
        <w:t>...</w:t>
      </w:r>
      <w:r w:rsidR="00715EF2">
        <w:t xml:space="preserve"> .</w:t>
      </w:r>
    </w:p>
    <w:p w:rsidR="00715EF2" w:rsidP="00715EF2" w:rsidRDefault="00D72A38">
      <w:pPr>
        <w:pStyle w:val="JuQuot"/>
      </w:pPr>
      <w:r>
        <w:t>83</w:t>
      </w:r>
      <w:r w:rsidRPr="002637F0">
        <w:t>.</w:t>
      </w:r>
      <w:r w:rsidR="00C40817">
        <w:t>  </w:t>
      </w:r>
      <w:r w:rsidRPr="002637F0">
        <w:t>The procedural safeguards available to the individual will be especially material in determining whether the respondent State has, when fixing the regulatory framework, remained within its margin of appreciation. In</w:t>
      </w:r>
      <w:r>
        <w:t xml:space="preserve"> particular, the Court must examine whether the decision-making process leading to measures of interference was fair and such as to afford due respect to the interests safeguarded to the individual by Article 8 </w:t>
      </w:r>
      <w:r w:rsidR="00776D6F">
        <w:t>...</w:t>
      </w:r>
      <w:r w:rsidR="00476C0D">
        <w:t>”</w:t>
      </w:r>
    </w:p>
    <w:p w:rsidR="00F737E3" w:rsidP="00F7744F" w:rsidRDefault="009F0EEC">
      <w:pPr>
        <w:pStyle w:val="JuPara"/>
      </w:pPr>
      <w:r>
        <w:fldChar w:fldCharType="begin"/>
      </w:r>
      <w:r>
        <w:instrText xml:space="preserve"> SEQ level0 \*arabic </w:instrText>
      </w:r>
      <w:r>
        <w:fldChar w:fldCharType="separate"/>
      </w:r>
      <w:r w:rsidR="005F2AA6">
        <w:rPr>
          <w:noProof/>
        </w:rPr>
        <w:t>50</w:t>
      </w:r>
      <w:r>
        <w:fldChar w:fldCharType="end"/>
      </w:r>
      <w:r>
        <w:t>.  The Court is unable to accept the Government</w:t>
      </w:r>
      <w:r w:rsidR="005F2AA6">
        <w:t>’</w:t>
      </w:r>
      <w:r>
        <w:t xml:space="preserve">s argument that the reasoning in </w:t>
      </w:r>
      <w:r>
        <w:rPr>
          <w:i/>
        </w:rPr>
        <w:t xml:space="preserve">Connors </w:t>
      </w:r>
      <w:r>
        <w:t xml:space="preserve">was to be confined only to cases involving the eviction of </w:t>
      </w:r>
      <w:r w:rsidR="00782548">
        <w:t xml:space="preserve">Roma </w:t>
      </w:r>
      <w:r>
        <w:t>or cases where the applicant sought to challenge the law itself rather than its application in his particular case.</w:t>
      </w:r>
      <w:r w:rsidR="00FE5FB1">
        <w:t xml:space="preserve"> </w:t>
      </w:r>
      <w:r w:rsidR="007B59EF">
        <w:t>The loss of one</w:t>
      </w:r>
      <w:r w:rsidR="005F2AA6">
        <w:t>’</w:t>
      </w:r>
      <w:r w:rsidR="007B59EF">
        <w:t xml:space="preserve">s home is </w:t>
      </w:r>
      <w:r w:rsidR="00860C62">
        <w:t>a</w:t>
      </w:r>
      <w:r w:rsidR="007B59EF">
        <w:t xml:space="preserve"> most extreme form of interference with the right to respect for the home</w:t>
      </w:r>
      <w:r w:rsidR="00860C62">
        <w:t>.</w:t>
      </w:r>
      <w:r w:rsidR="007B59EF">
        <w:t xml:space="preserve"> </w:t>
      </w:r>
      <w:r>
        <w:t>A</w:t>
      </w:r>
      <w:r w:rsidR="007B59EF">
        <w:t>ny person at risk of an interference of this magnitude should in principle be able to have the proportionality of the measure determined by an independent tribunal in the light of the relevant principles under Article 8 of the Convention</w:t>
      </w:r>
      <w:r>
        <w:t>, notwithstanding that, under domestic law, his right of occupation has come to an end</w:t>
      </w:r>
      <w:r w:rsidR="007B59EF">
        <w:t>.</w:t>
      </w:r>
    </w:p>
    <w:p w:rsidR="00F737E3" w:rsidP="00F7744F" w:rsidRDefault="00F7744F">
      <w:pPr>
        <w:pStyle w:val="JuPara"/>
      </w:pPr>
      <w:r>
        <w:fldChar w:fldCharType="begin"/>
      </w:r>
      <w:r>
        <w:instrText xml:space="preserve"> SEQ level0 \*arabic </w:instrText>
      </w:r>
      <w:r>
        <w:fldChar w:fldCharType="separate"/>
      </w:r>
      <w:r w:rsidR="005F2AA6">
        <w:rPr>
          <w:noProof/>
        </w:rPr>
        <w:t>51</w:t>
      </w:r>
      <w:r>
        <w:fldChar w:fldCharType="end"/>
      </w:r>
      <w:r>
        <w:t>.  </w:t>
      </w:r>
      <w:r w:rsidRPr="00536855">
        <w:t xml:space="preserve">The </w:t>
      </w:r>
      <w:r>
        <w:t xml:space="preserve">Court notes that the </w:t>
      </w:r>
      <w:r w:rsidRPr="00536855">
        <w:t xml:space="preserve">legislature in the </w:t>
      </w:r>
      <w:smartTag w:uri="urn:schemas-microsoft-com:office:smarttags" w:element="country-region">
        <w:smartTag w:uri="urn:schemas-microsoft-com:office:smarttags" w:element="place">
          <w:r w:rsidRPr="00536855">
            <w:t>United Kingdom</w:t>
          </w:r>
        </w:smartTag>
      </w:smartTag>
      <w:r w:rsidRPr="00536855">
        <w:t xml:space="preserve"> has set up</w:t>
      </w:r>
      <w:r>
        <w:t>, through the Housing Acts</w:t>
      </w:r>
      <w:r w:rsidR="00D308CE">
        <w:t>,</w:t>
      </w:r>
      <w:r>
        <w:t xml:space="preserve"> </w:t>
      </w:r>
      <w:r>
        <w:rPr>
          <w:i/>
        </w:rPr>
        <w:t>inter alia</w:t>
      </w:r>
      <w:r>
        <w:t xml:space="preserve">, </w:t>
      </w:r>
      <w:r w:rsidRPr="00536855">
        <w:t xml:space="preserve">a complex system </w:t>
      </w:r>
      <w:r>
        <w:t xml:space="preserve">for the </w:t>
      </w:r>
      <w:r w:rsidR="006D2879">
        <w:t>allocation</w:t>
      </w:r>
      <w:r w:rsidRPr="00536855">
        <w:t xml:space="preserve"> of public housing</w:t>
      </w:r>
      <w:r>
        <w:t xml:space="preserve">, about which the applicant does not complain. </w:t>
      </w:r>
      <w:r w:rsidR="006D2879">
        <w:t>That system includes, in section 84 of the Housing Act 1985 (see paragraph</w:t>
      </w:r>
      <w:r w:rsidR="00D308CE">
        <w:t> </w:t>
      </w:r>
      <w:r w:rsidR="006D2879">
        <w:t>20 above), provisions to protect secure tenants of public</w:t>
      </w:r>
      <w:r w:rsidR="00FA5FBC">
        <w:t>-</w:t>
      </w:r>
      <w:r w:rsidR="006D2879">
        <w:t>authority landlords, such as the applicant during the course of the joint tenancy. In accordance with these provisions, a court cannot grant a public</w:t>
      </w:r>
      <w:r w:rsidR="00FA5FBC">
        <w:t>-</w:t>
      </w:r>
      <w:r w:rsidR="006D2879">
        <w:t xml:space="preserve">authority landlord possession of a property occupied by a secure tenant except on one of the specified statutory grounds and where it is in addition satisfied that it is reasonable to make such an order. Had the local authority sought to evict the applicant in accordance with this statutory scheme, it would have been open to the applicant to </w:t>
      </w:r>
      <w:r w:rsidR="008061BB">
        <w:t xml:space="preserve">ask </w:t>
      </w:r>
      <w:r w:rsidR="006D2879">
        <w:t xml:space="preserve">the court </w:t>
      </w:r>
      <w:r w:rsidR="008061BB">
        <w:t xml:space="preserve">to examine, for example, whether his wife had really left the family home because of domestic violence and whether </w:t>
      </w:r>
      <w:r w:rsidR="00663EDC">
        <w:t xml:space="preserve">in </w:t>
      </w:r>
      <w:r w:rsidR="008061BB">
        <w:t>his personal circumstances, including his need to provide accommodation for his children during overnight visits several times a week, it was reasonable to grant the possession order.</w:t>
      </w:r>
    </w:p>
    <w:p w:rsidR="00F737E3" w:rsidP="009C503B" w:rsidRDefault="008061BB">
      <w:pPr>
        <w:pStyle w:val="JuPara"/>
      </w:pPr>
      <w:r w:rsidRPr="002637F0">
        <w:fldChar w:fldCharType="begin"/>
      </w:r>
      <w:r w:rsidRPr="002637F0">
        <w:instrText xml:space="preserve"> SEQ level0 \*arabic </w:instrText>
      </w:r>
      <w:r w:rsidRPr="002637F0">
        <w:fldChar w:fldCharType="separate"/>
      </w:r>
      <w:r w:rsidR="005F2AA6">
        <w:rPr>
          <w:noProof/>
        </w:rPr>
        <w:t>52</w:t>
      </w:r>
      <w:r w:rsidRPr="002637F0">
        <w:fldChar w:fldCharType="end"/>
      </w:r>
      <w:r w:rsidRPr="002637F0">
        <w:t>.  </w:t>
      </w:r>
      <w:r w:rsidR="00E14ABB">
        <w:t xml:space="preserve">In the present case, however, </w:t>
      </w:r>
      <w:r w:rsidRPr="002637F0">
        <w:t xml:space="preserve">the local authority chose to bypass the statutory scheme </w:t>
      </w:r>
      <w:r w:rsidRPr="002637F0" w:rsidR="00442628">
        <w:t>by requesting Mrs McCann to sign a common</w:t>
      </w:r>
      <w:r w:rsidR="00700E8C">
        <w:t>-</w:t>
      </w:r>
      <w:r w:rsidRPr="002637F0" w:rsidR="00442628">
        <w:t>law notice to quit, the effect of which was immediately to terminate the applicant</w:t>
      </w:r>
      <w:r w:rsidR="005F2AA6">
        <w:t>’</w:t>
      </w:r>
      <w:r w:rsidRPr="002637F0" w:rsidR="00442628">
        <w:t xml:space="preserve">s right to remain in the house. </w:t>
      </w:r>
      <w:r w:rsidR="002637F0">
        <w:t>It does not appear that the authority, in the course of this procedure, g</w:t>
      </w:r>
      <w:r w:rsidRPr="002637F0" w:rsidR="002637F0">
        <w:t xml:space="preserve">ave </w:t>
      </w:r>
      <w:r w:rsidR="002637F0">
        <w:t>any</w:t>
      </w:r>
      <w:r w:rsidRPr="002637F0" w:rsidR="002637F0">
        <w:t xml:space="preserve"> consideration to the applicant</w:t>
      </w:r>
      <w:r w:rsidR="005F2AA6">
        <w:t>’</w:t>
      </w:r>
      <w:r w:rsidRPr="002637F0" w:rsidR="002637F0">
        <w:t>s right</w:t>
      </w:r>
      <w:r w:rsidR="002637F0">
        <w:t xml:space="preserve"> to respect for his home</w:t>
      </w:r>
      <w:r w:rsidRPr="002637F0" w:rsidR="002637F0">
        <w:t>.</w:t>
      </w:r>
      <w:r w:rsidR="002637F0">
        <w:t xml:space="preserve"> Moreover, under domestic law</w:t>
      </w:r>
      <w:r w:rsidR="00462FE3">
        <w:t xml:space="preserve"> (see the </w:t>
      </w:r>
      <w:r w:rsidR="002637F0">
        <w:t xml:space="preserve">majority opinions in </w:t>
      </w:r>
      <w:proofErr w:type="spellStart"/>
      <w:r w:rsidR="007E66E6">
        <w:rPr>
          <w:i/>
        </w:rPr>
        <w:t>Qazi</w:t>
      </w:r>
      <w:proofErr w:type="spellEnd"/>
      <w:r w:rsidR="007E66E6">
        <w:rPr>
          <w:i/>
        </w:rPr>
        <w:t xml:space="preserve"> </w:t>
      </w:r>
      <w:r w:rsidR="007E66E6">
        <w:t xml:space="preserve">and </w:t>
      </w:r>
      <w:r w:rsidR="007E66E6">
        <w:rPr>
          <w:i/>
        </w:rPr>
        <w:t>Kay</w:t>
      </w:r>
      <w:r w:rsidR="00462FE3">
        <w:t>,</w:t>
      </w:r>
      <w:r w:rsidR="00DD7A59">
        <w:t xml:space="preserve"> </w:t>
      </w:r>
      <w:r w:rsidR="00D308CE">
        <w:t xml:space="preserve">paragraphs </w:t>
      </w:r>
      <w:r w:rsidR="00611DA1">
        <w:t>22-28</w:t>
      </w:r>
      <w:r w:rsidR="00DD7A59">
        <w:t xml:space="preserve"> above)</w:t>
      </w:r>
      <w:r w:rsidR="007E66E6">
        <w:t xml:space="preserve">, </w:t>
      </w:r>
      <w:r w:rsidR="00462FE3">
        <w:t>i</w:t>
      </w:r>
      <w:r w:rsidRPr="00536855" w:rsidR="009C503B">
        <w:t xml:space="preserve">n summary proceedings </w:t>
      </w:r>
      <w:r w:rsidR="005F7D55">
        <w:t xml:space="preserve">such as those brought against the applicant, </w:t>
      </w:r>
      <w:r w:rsidRPr="00536855" w:rsidR="00462FE3">
        <w:t xml:space="preserve">it </w:t>
      </w:r>
      <w:r w:rsidR="00C90619">
        <w:t>was</w:t>
      </w:r>
      <w:r w:rsidR="00462FE3">
        <w:t xml:space="preserve"> not open to the </w:t>
      </w:r>
      <w:r w:rsidR="00D308CE">
        <w:t>C</w:t>
      </w:r>
      <w:r w:rsidR="00462FE3">
        <w:t xml:space="preserve">ounty </w:t>
      </w:r>
      <w:r w:rsidR="00D308CE">
        <w:t>C</w:t>
      </w:r>
      <w:r w:rsidR="00462FE3">
        <w:t>ourt</w:t>
      </w:r>
      <w:r w:rsidRPr="00536855" w:rsidR="00462FE3">
        <w:t xml:space="preserve"> to consider </w:t>
      </w:r>
      <w:r w:rsidR="00462FE3">
        <w:t>any issue concerning the</w:t>
      </w:r>
      <w:r w:rsidRPr="00536855" w:rsidR="00462FE3">
        <w:t xml:space="preserve"> proportionality </w:t>
      </w:r>
      <w:r w:rsidR="00462FE3">
        <w:t xml:space="preserve">of the possession order, </w:t>
      </w:r>
      <w:r w:rsidRPr="00536855" w:rsidR="009C503B">
        <w:t>save in exceptional cases where, as the Court of Appeal put it in the present case, “something has happened since the service of the notice to quit</w:t>
      </w:r>
      <w:r w:rsidR="005C0285">
        <w:t>,</w:t>
      </w:r>
      <w:r w:rsidRPr="00536855" w:rsidR="009C503B">
        <w:t xml:space="preserve"> which has fundamentally altered the rights and wrongs of the proposed eviction”</w:t>
      </w:r>
      <w:r w:rsidR="00462FE3">
        <w:t>.</w:t>
      </w:r>
      <w:r w:rsidR="00C90619">
        <w:t xml:space="preserve"> No such exceptional circumstances applied in the present case. </w:t>
      </w:r>
      <w:r w:rsidR="0018052C">
        <w:t>Furthermore</w:t>
      </w:r>
      <w:r w:rsidR="00C90619">
        <w:t>, although since the applicant</w:t>
      </w:r>
      <w:r w:rsidR="005F2AA6">
        <w:t>’</w:t>
      </w:r>
      <w:r w:rsidR="00C90619">
        <w:t>s</w:t>
      </w:r>
      <w:r w:rsidR="009C503B">
        <w:t xml:space="preserve"> </w:t>
      </w:r>
      <w:r w:rsidRPr="00536855" w:rsidR="009C503B">
        <w:t>landlord was a publ</w:t>
      </w:r>
      <w:r w:rsidR="009C503B">
        <w:t>ic authority it was open to him to challenge</w:t>
      </w:r>
      <w:r w:rsidRPr="00536855" w:rsidR="009C503B">
        <w:t xml:space="preserve"> the decision</w:t>
      </w:r>
      <w:r w:rsidR="00273147">
        <w:t>s</w:t>
      </w:r>
      <w:r w:rsidRPr="00536855" w:rsidR="009C503B">
        <w:t xml:space="preserve"> to </w:t>
      </w:r>
      <w:r w:rsidR="00273147">
        <w:t xml:space="preserve">obtain the notice to quit and to </w:t>
      </w:r>
      <w:r w:rsidRPr="00536855" w:rsidR="009C503B">
        <w:t>bring possession proceedings in an application for judicial review</w:t>
      </w:r>
      <w:r w:rsidR="00C90619">
        <w:t xml:space="preserve">, </w:t>
      </w:r>
      <w:r w:rsidR="0018052C">
        <w:t xml:space="preserve">his application </w:t>
      </w:r>
      <w:r w:rsidR="000F00DB">
        <w:t>failed</w:t>
      </w:r>
      <w:r w:rsidR="0018052C">
        <w:t xml:space="preserve"> </w:t>
      </w:r>
      <w:r w:rsidR="000F00DB">
        <w:t>because</w:t>
      </w:r>
      <w:r w:rsidR="0018052C">
        <w:t xml:space="preserve"> the local authority had not acted unlawfully</w:t>
      </w:r>
      <w:r w:rsidR="00273147">
        <w:t>.</w:t>
      </w:r>
    </w:p>
    <w:p w:rsidR="007B59EF" w:rsidP="009C503B" w:rsidRDefault="00822DFB">
      <w:pPr>
        <w:pStyle w:val="JuPara"/>
      </w:pPr>
      <w:r>
        <w:fldChar w:fldCharType="begin"/>
      </w:r>
      <w:r>
        <w:instrText xml:space="preserve"> SEQ level0 \*arabic </w:instrText>
      </w:r>
      <w:r>
        <w:fldChar w:fldCharType="separate"/>
      </w:r>
      <w:r w:rsidR="005F2AA6">
        <w:rPr>
          <w:noProof/>
        </w:rPr>
        <w:t>53</w:t>
      </w:r>
      <w:r>
        <w:fldChar w:fldCharType="end"/>
      </w:r>
      <w:r>
        <w:t xml:space="preserve">.  As in </w:t>
      </w:r>
      <w:r>
        <w:rPr>
          <w:i/>
        </w:rPr>
        <w:t>Connors</w:t>
      </w:r>
      <w:r w:rsidRPr="004D4D20">
        <w:t xml:space="preserve">, </w:t>
      </w:r>
      <w:r w:rsidR="00255C83">
        <w:t xml:space="preserve">the “procedural safeguards” </w:t>
      </w:r>
      <w:r w:rsidR="003F3645">
        <w:t>required by Article 8 for the assessment of the proportionality of the interference were not met by the possibility for the applicant to apply for judicial review and to obtain a scrutiny by the courts of the lawfulness and reasonableness of the local authority</w:t>
      </w:r>
      <w:r w:rsidR="005F2AA6">
        <w:t>’</w:t>
      </w:r>
      <w:r w:rsidR="003F3645">
        <w:t>s decisions. J</w:t>
      </w:r>
      <w:r w:rsidR="0018052C">
        <w:t>udicial</w:t>
      </w:r>
      <w:r w:rsidR="00C463CE">
        <w:t>-</w:t>
      </w:r>
      <w:r w:rsidR="0018052C">
        <w:t xml:space="preserve">review </w:t>
      </w:r>
      <w:r w:rsidR="003F3645">
        <w:t>procedure is not well-adapted for the resolution of sensitive factual questions which are better left to the County Court responsible for ordering possession. In the present case, the judicial</w:t>
      </w:r>
      <w:r w:rsidR="00C463CE">
        <w:noBreakHyphen/>
      </w:r>
      <w:r w:rsidR="003F3645">
        <w:t>review proceedings</w:t>
      </w:r>
      <w:r w:rsidR="0018052C">
        <w:t>, like the possession proceedings, did not provide any opportunity for a</w:t>
      </w:r>
      <w:r w:rsidR="00663EDC">
        <w:t>n independent tribunal</w:t>
      </w:r>
      <w:r w:rsidR="0018052C">
        <w:t xml:space="preserve"> to examine </w:t>
      </w:r>
      <w:r w:rsidR="00204C3C">
        <w:t xml:space="preserve">whether the </w:t>
      </w:r>
      <w:r w:rsidR="00976739">
        <w:t>applicant</w:t>
      </w:r>
      <w:r w:rsidR="005F2AA6">
        <w:t>’</w:t>
      </w:r>
      <w:r w:rsidR="00976739">
        <w:t xml:space="preserve">s loss of his home </w:t>
      </w:r>
      <w:r w:rsidR="00204C3C">
        <w:t>was proportionate under Article 8 § 2 to the legitimate aims pursued.</w:t>
      </w:r>
    </w:p>
    <w:p w:rsidR="003F3645" w:rsidP="009C503B" w:rsidRDefault="003F3645">
      <w:pPr>
        <w:pStyle w:val="JuPara"/>
      </w:pPr>
      <w:r>
        <w:fldChar w:fldCharType="begin"/>
      </w:r>
      <w:r>
        <w:instrText xml:space="preserve"> SEQ level0 \*arabic </w:instrText>
      </w:r>
      <w:r>
        <w:fldChar w:fldCharType="separate"/>
      </w:r>
      <w:r w:rsidR="005F2AA6">
        <w:rPr>
          <w:noProof/>
        </w:rPr>
        <w:t>54</w:t>
      </w:r>
      <w:r>
        <w:fldChar w:fldCharType="end"/>
      </w:r>
      <w:r w:rsidR="00720320">
        <w:t>.  T</w:t>
      </w:r>
      <w:r>
        <w:t xml:space="preserve">he </w:t>
      </w:r>
      <w:r w:rsidR="00B725D4">
        <w:t>C</w:t>
      </w:r>
      <w:r>
        <w:t xml:space="preserve">ourt does not accept that the grant of the right to the occupier to raise an issue under Article 8 would have serious consequences for the functioning of the system or for the domestic law of landlord and tenant. As the minority of the House of Lords in </w:t>
      </w:r>
      <w:r>
        <w:rPr>
          <w:i/>
        </w:rPr>
        <w:t xml:space="preserve">Kay </w:t>
      </w:r>
      <w:r>
        <w:t xml:space="preserve">observed (see paragraph </w:t>
      </w:r>
      <w:r w:rsidR="003F7BDC">
        <w:t>28 above), it would be only in very exceptional cases that an applicant would succeed in raising an arguable case which would require a court to examine the issue</w:t>
      </w:r>
      <w:r w:rsidR="00D97AA1">
        <w:t>; i</w:t>
      </w:r>
      <w:r>
        <w:t xml:space="preserve">n </w:t>
      </w:r>
      <w:r w:rsidR="00D97AA1">
        <w:t>the great majority of cases, an order for possession could continue to be made in summary proceedings.</w:t>
      </w:r>
    </w:p>
    <w:p w:rsidR="009C503B" w:rsidP="009C503B" w:rsidRDefault="007B59EF">
      <w:pPr>
        <w:pStyle w:val="JuPara"/>
      </w:pPr>
      <w:r>
        <w:fldChar w:fldCharType="begin"/>
      </w:r>
      <w:r>
        <w:instrText xml:space="preserve"> SEQ level0 \*arabic </w:instrText>
      </w:r>
      <w:r>
        <w:fldChar w:fldCharType="separate"/>
      </w:r>
      <w:r w:rsidR="005F2AA6">
        <w:rPr>
          <w:noProof/>
        </w:rPr>
        <w:t>55</w:t>
      </w:r>
      <w:r>
        <w:fldChar w:fldCharType="end"/>
      </w:r>
      <w:r>
        <w:t xml:space="preserve">.  It is, for present purposes, immaterial whether or not Mrs McCann understood or intended the effects of the notice to quit. Under the summary procedure available to a landlord where one joint tenant serves notice to quit, </w:t>
      </w:r>
      <w:r w:rsidR="00D97AA1">
        <w:t xml:space="preserve">the applicant was </w:t>
      </w:r>
      <w:r>
        <w:t>dispossessed of his home without any possibility to have the proportionality of the measure determined by an independent tribunal.</w:t>
      </w:r>
      <w:r w:rsidR="005F19AE">
        <w:t xml:space="preserve"> </w:t>
      </w:r>
      <w:r w:rsidRPr="00536855" w:rsidR="009C503B">
        <w:t>It follows that</w:t>
      </w:r>
      <w:r>
        <w:t xml:space="preserve">, because of the lack of adequate procedural safeguards, </w:t>
      </w:r>
      <w:r w:rsidR="00384D31">
        <w:t xml:space="preserve">there has been a violation of Article 8 of the Convention in the </w:t>
      </w:r>
      <w:r>
        <w:t>instant</w:t>
      </w:r>
      <w:r w:rsidR="00384D31">
        <w:t xml:space="preserve"> case.</w:t>
      </w:r>
    </w:p>
    <w:p w:rsidR="00976739" w:rsidP="000726C9" w:rsidRDefault="00F63EA7">
      <w:pPr>
        <w:pStyle w:val="JuHIRoman"/>
      </w:pPr>
      <w:r>
        <w:t>III.  </w:t>
      </w:r>
      <w:r w:rsidR="000726C9">
        <w:t>ARTICLE 41 OF THE CONVENTION</w:t>
      </w:r>
    </w:p>
    <w:p w:rsidR="000726C9" w:rsidP="000726C9" w:rsidRDefault="000726C9">
      <w:pPr>
        <w:pStyle w:val="JuPara"/>
      </w:pPr>
      <w:r>
        <w:fldChar w:fldCharType="begin"/>
      </w:r>
      <w:r>
        <w:instrText xml:space="preserve"> SEQ level0 \*arabic </w:instrText>
      </w:r>
      <w:r>
        <w:fldChar w:fldCharType="separate"/>
      </w:r>
      <w:r w:rsidR="005F2AA6">
        <w:rPr>
          <w:noProof/>
        </w:rPr>
        <w:t>56</w:t>
      </w:r>
      <w:r>
        <w:fldChar w:fldCharType="end"/>
      </w:r>
      <w:r>
        <w:t>.  The applicant claimed just satisfaction under Article 41 of the Convention, which provides:</w:t>
      </w:r>
    </w:p>
    <w:p w:rsidR="000726C9" w:rsidP="000726C9" w:rsidRDefault="000726C9">
      <w:pPr>
        <w:pStyle w:val="JuQuot"/>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A86BDC" w:rsidP="00EE5D77" w:rsidRDefault="00EE5D77">
      <w:pPr>
        <w:pStyle w:val="JuHA"/>
      </w:pPr>
      <w:r>
        <w:t>A.</w:t>
      </w:r>
      <w:r w:rsidR="005F19AE">
        <w:t>  </w:t>
      </w:r>
      <w:r>
        <w:t>Non-pecuniary damage</w:t>
      </w:r>
    </w:p>
    <w:p w:rsidR="00EE5D77" w:rsidP="00EE5D77" w:rsidRDefault="00EE5D77">
      <w:pPr>
        <w:pStyle w:val="JuPara"/>
      </w:pPr>
      <w:r>
        <w:fldChar w:fldCharType="begin"/>
      </w:r>
      <w:r>
        <w:instrText xml:space="preserve"> SEQ level0 \*arabic </w:instrText>
      </w:r>
      <w:r>
        <w:fldChar w:fldCharType="separate"/>
      </w:r>
      <w:r w:rsidR="005F2AA6">
        <w:rPr>
          <w:noProof/>
        </w:rPr>
        <w:t>57</w:t>
      </w:r>
      <w:r>
        <w:fldChar w:fldCharType="end"/>
      </w:r>
      <w:r>
        <w:t>.  The applicant claimed a total of</w:t>
      </w:r>
      <w:r w:rsidR="00D308CE">
        <w:t xml:space="preserve"> </w:t>
      </w:r>
      <w:r>
        <w:t>50,000</w:t>
      </w:r>
      <w:r w:rsidR="00D308CE">
        <w:t xml:space="preserve"> euros (EUR)</w:t>
      </w:r>
      <w:r>
        <w:t xml:space="preserve"> in compensation for non-pecuniary damage, including EUR 20,000 for the loss of his home, EUR 20,000 for the interference with his relationship with his children and EUR 10,000 for </w:t>
      </w:r>
      <w:r w:rsidR="00C277EC">
        <w:t xml:space="preserve">the </w:t>
      </w:r>
      <w:r>
        <w:t>suffering and distress occasioned by the humiliation of being evicted in the knowledge that the County Court judge had found it to be unjustified.</w:t>
      </w:r>
    </w:p>
    <w:p w:rsidR="00F737E3" w:rsidP="00EE5D77" w:rsidRDefault="00EE5D77">
      <w:pPr>
        <w:pStyle w:val="JuPara"/>
      </w:pPr>
      <w:r>
        <w:fldChar w:fldCharType="begin"/>
      </w:r>
      <w:r>
        <w:instrText xml:space="preserve"> SEQ level0 \*arabic </w:instrText>
      </w:r>
      <w:r>
        <w:fldChar w:fldCharType="separate"/>
      </w:r>
      <w:r w:rsidR="005F2AA6">
        <w:rPr>
          <w:noProof/>
        </w:rPr>
        <w:t>58</w:t>
      </w:r>
      <w:r>
        <w:fldChar w:fldCharType="end"/>
      </w:r>
      <w:r>
        <w:t>.  The Government</w:t>
      </w:r>
      <w:r w:rsidR="001466FC">
        <w:t xml:space="preserve"> commented that, unlike the applicant in </w:t>
      </w:r>
      <w:r w:rsidR="001466FC">
        <w:rPr>
          <w:i/>
        </w:rPr>
        <w:t xml:space="preserve">Connors </w:t>
      </w:r>
      <w:r w:rsidR="001466FC">
        <w:t xml:space="preserve">who was evicted at short notice from his home of </w:t>
      </w:r>
      <w:r w:rsidR="00D308CE">
        <w:t>fifteen</w:t>
      </w:r>
      <w:r w:rsidR="001466FC">
        <w:t xml:space="preserve"> years, and to whom the Court awarded EUR 14,000 in respect of non-pecuniary damage, the present applicant had lived in the house in question for only three years before his marriage broke down and he was ordered to leave under the </w:t>
      </w:r>
      <w:r w:rsidR="00B725D4">
        <w:t>non-</w:t>
      </w:r>
      <w:r w:rsidR="001466FC">
        <w:t>molestation order of April 2001. Furthermore, the applicant had applied for an exchange of property on 4 January 2002, as the house was too big for his needs. In these circumstances, and given that it was impossible to ascertain what the applicant</w:t>
      </w:r>
      <w:r w:rsidR="005F2AA6">
        <w:t>’</w:t>
      </w:r>
      <w:r w:rsidR="001466FC">
        <w:t xml:space="preserve">s position would have been had there been no breach of Article 8 (which was, in any event, denied), the Government submitted that the finding of a violation would in itself constitute sufficient just satisfaction or, in the alternative, an amount significantly lower than that in </w:t>
      </w:r>
      <w:r w:rsidR="001466FC">
        <w:rPr>
          <w:i/>
        </w:rPr>
        <w:t xml:space="preserve">Connors </w:t>
      </w:r>
      <w:r w:rsidR="001466FC">
        <w:t>should be awarded.</w:t>
      </w:r>
    </w:p>
    <w:p w:rsidRPr="000F00DB" w:rsidR="000F00DB" w:rsidP="00EE5D77" w:rsidRDefault="000F00DB">
      <w:pPr>
        <w:pStyle w:val="JuPara"/>
      </w:pPr>
      <w:r>
        <w:fldChar w:fldCharType="begin"/>
      </w:r>
      <w:r>
        <w:instrText xml:space="preserve"> SEQ level0 \*arabic </w:instrText>
      </w:r>
      <w:r>
        <w:fldChar w:fldCharType="separate"/>
      </w:r>
      <w:r w:rsidR="005F2AA6">
        <w:rPr>
          <w:noProof/>
        </w:rPr>
        <w:t>59</w:t>
      </w:r>
      <w:r>
        <w:fldChar w:fldCharType="end"/>
      </w:r>
      <w:r>
        <w:t xml:space="preserve">.  The Court notes that it </w:t>
      </w:r>
      <w:r w:rsidR="00663EDC">
        <w:t>has found Article 8 violated in its procedural aspect only. Given the allegations of domestic violence against the applicant, his status as a single man (albeit one who wished to maintain regular overnight contact with his children) and the shortage of local authority housing stock, it is far from clear that, ha</w:t>
      </w:r>
      <w:r>
        <w:t xml:space="preserve">d a domestic </w:t>
      </w:r>
      <w:r w:rsidR="00663EDC">
        <w:t>tribunal</w:t>
      </w:r>
      <w:r>
        <w:t xml:space="preserve"> been in a position to assess the proportionality of </w:t>
      </w:r>
      <w:r w:rsidR="00663EDC">
        <w:t xml:space="preserve">the eviction, the possession order would not still have been granted. </w:t>
      </w:r>
      <w:r>
        <w:t xml:space="preserve">Nonetheless, the applicant was </w:t>
      </w:r>
      <w:r w:rsidR="00663EDC">
        <w:t>deprived of his home</w:t>
      </w:r>
      <w:r>
        <w:t xml:space="preserve"> without the opportunity to obtain a ruling on the issues under Article 8, and the Court thus concludes that he suffered some non-pecuniary damage, in particular feelings of frustration and injustice, not sufficiently compensated by the finding of a violation of the Convention (see </w:t>
      </w:r>
      <w:r>
        <w:rPr>
          <w:i/>
        </w:rPr>
        <w:t>Connors</w:t>
      </w:r>
      <w:r w:rsidRPr="004D4D20">
        <w:t>,</w:t>
      </w:r>
      <w:r>
        <w:rPr>
          <w:i/>
        </w:rPr>
        <w:t xml:space="preserve"> </w:t>
      </w:r>
      <w:r w:rsidRPr="009B3422" w:rsidR="00D308CE">
        <w:t>cited above,</w:t>
      </w:r>
      <w:r w:rsidR="00D308CE">
        <w:rPr>
          <w:i/>
        </w:rPr>
        <w:t xml:space="preserve"> </w:t>
      </w:r>
      <w:r>
        <w:t>§ 114).</w:t>
      </w:r>
      <w:r w:rsidR="005F19AE">
        <w:t xml:space="preserve"> </w:t>
      </w:r>
      <w:r>
        <w:t>Deciding on an equitable basis</w:t>
      </w:r>
      <w:r w:rsidR="00FB495F">
        <w:t>,</w:t>
      </w:r>
      <w:r>
        <w:t xml:space="preserve"> it awards the applicant EUR </w:t>
      </w:r>
      <w:r w:rsidR="00F41F15">
        <w:t>2</w:t>
      </w:r>
      <w:r>
        <w:t>,000 under this head.</w:t>
      </w:r>
    </w:p>
    <w:p w:rsidR="00EE5D77" w:rsidP="00EE5D77" w:rsidRDefault="00F41F15">
      <w:pPr>
        <w:pStyle w:val="JuHA"/>
      </w:pPr>
      <w:r>
        <w:t>B.  </w:t>
      </w:r>
      <w:r w:rsidR="00EE5D77">
        <w:t>Costs and expenses</w:t>
      </w:r>
    </w:p>
    <w:p w:rsidR="00EE5D77" w:rsidP="00EE5D77" w:rsidRDefault="00EE5D77">
      <w:pPr>
        <w:pStyle w:val="JuPara"/>
      </w:pPr>
      <w:r>
        <w:fldChar w:fldCharType="begin"/>
      </w:r>
      <w:r>
        <w:instrText xml:space="preserve"> SEQ level0 \*arabic </w:instrText>
      </w:r>
      <w:r>
        <w:fldChar w:fldCharType="separate"/>
      </w:r>
      <w:r w:rsidR="005F2AA6">
        <w:rPr>
          <w:noProof/>
        </w:rPr>
        <w:t>60</w:t>
      </w:r>
      <w:r>
        <w:fldChar w:fldCharType="end"/>
      </w:r>
      <w:r>
        <w:t xml:space="preserve">.  In addition, </w:t>
      </w:r>
      <w:r w:rsidR="009732BD">
        <w:t xml:space="preserve">the applicant claimed costs incurred during the domestic </w:t>
      </w:r>
      <w:r w:rsidR="001466FC">
        <w:t xml:space="preserve">and </w:t>
      </w:r>
      <w:smartTag w:uri="urn:schemas-microsoft-com:office:smarttags" w:element="City">
        <w:smartTag w:uri="urn:schemas-microsoft-com:office:smarttags" w:element="place">
          <w:r w:rsidR="001466FC">
            <w:t>Strasbourg</w:t>
          </w:r>
        </w:smartTag>
      </w:smartTag>
      <w:r w:rsidR="001466FC">
        <w:t xml:space="preserve"> </w:t>
      </w:r>
      <w:r w:rsidR="009732BD">
        <w:t xml:space="preserve">proceedings, claimed at the national </w:t>
      </w:r>
      <w:r w:rsidR="009732BD">
        <w:rPr>
          <w:i/>
        </w:rPr>
        <w:t xml:space="preserve">inter </w:t>
      </w:r>
      <w:proofErr w:type="spellStart"/>
      <w:r w:rsidR="009732BD">
        <w:rPr>
          <w:i/>
        </w:rPr>
        <w:t>partes</w:t>
      </w:r>
      <w:proofErr w:type="spellEnd"/>
      <w:r w:rsidR="009732BD">
        <w:rPr>
          <w:i/>
        </w:rPr>
        <w:t xml:space="preserve"> </w:t>
      </w:r>
      <w:r w:rsidR="009732BD">
        <w:t>rate, amounting to a total of 75,570.18</w:t>
      </w:r>
      <w:r w:rsidR="00D308CE">
        <w:t xml:space="preserve"> pounds sterling (GBP)</w:t>
      </w:r>
      <w:r w:rsidR="001466FC">
        <w:t xml:space="preserve">, of which </w:t>
      </w:r>
      <w:r w:rsidR="00223AFC">
        <w:t>GBP</w:t>
      </w:r>
      <w:r w:rsidR="00D308CE">
        <w:t> </w:t>
      </w:r>
      <w:r w:rsidR="00223AFC">
        <w:t>7,691.32</w:t>
      </w:r>
      <w:r w:rsidR="001466FC">
        <w:t xml:space="preserve"> represented his costs before the Court.</w:t>
      </w:r>
    </w:p>
    <w:p w:rsidR="001466FC" w:rsidP="00EE5D77" w:rsidRDefault="001466FC">
      <w:pPr>
        <w:pStyle w:val="JuPara"/>
      </w:pPr>
      <w:r>
        <w:fldChar w:fldCharType="begin"/>
      </w:r>
      <w:r>
        <w:instrText xml:space="preserve"> SEQ level0 \*arabic </w:instrText>
      </w:r>
      <w:r>
        <w:fldChar w:fldCharType="separate"/>
      </w:r>
      <w:r w:rsidR="005F2AA6">
        <w:rPr>
          <w:noProof/>
        </w:rPr>
        <w:t>61</w:t>
      </w:r>
      <w:r>
        <w:fldChar w:fldCharType="end"/>
      </w:r>
      <w:r>
        <w:t xml:space="preserve">.  The Government submitted that GBP 45,000 in respect of the domestic costs and GBP 6,000 for the </w:t>
      </w:r>
      <w:smartTag w:uri="urn:schemas-microsoft-com:office:smarttags" w:element="place">
        <w:smartTag w:uri="urn:schemas-microsoft-com:office:smarttags" w:element="City">
          <w:r>
            <w:t>Strasbourg</w:t>
          </w:r>
        </w:smartTag>
      </w:smartTag>
      <w:r>
        <w:t xml:space="preserve"> co</w:t>
      </w:r>
      <w:r w:rsidR="000C1E8B">
        <w:t>sts would be more than adequate.</w:t>
      </w:r>
    </w:p>
    <w:p w:rsidR="000C1E8B" w:rsidP="00EE5D77" w:rsidRDefault="000C1E8B">
      <w:pPr>
        <w:pStyle w:val="JuPara"/>
      </w:pPr>
      <w:r>
        <w:fldChar w:fldCharType="begin"/>
      </w:r>
      <w:r>
        <w:instrText xml:space="preserve"> SEQ level0 \*arabic </w:instrText>
      </w:r>
      <w:r>
        <w:fldChar w:fldCharType="separate"/>
      </w:r>
      <w:r w:rsidR="005F2AA6">
        <w:rPr>
          <w:noProof/>
        </w:rPr>
        <w:t>62</w:t>
      </w:r>
      <w:r>
        <w:fldChar w:fldCharType="end"/>
      </w:r>
      <w:r>
        <w:t>.  The Court awards EUR 75,000 for costs and expenses, together with any value</w:t>
      </w:r>
      <w:r w:rsidR="00F27F55">
        <w:t>-</w:t>
      </w:r>
      <w:r>
        <w:t xml:space="preserve">added tax that may be payable, less the </w:t>
      </w:r>
      <w:r w:rsidR="003424C9">
        <w:t>EUR 850</w:t>
      </w:r>
      <w:r>
        <w:t xml:space="preserve"> already received in legal aid from the Council of Europe.</w:t>
      </w:r>
    </w:p>
    <w:p w:rsidR="00860C62" w:rsidP="00860C62" w:rsidRDefault="00F41F15">
      <w:pPr>
        <w:pStyle w:val="JuHA"/>
      </w:pPr>
      <w:r>
        <w:t>C.  </w:t>
      </w:r>
      <w:r w:rsidR="00860C62">
        <w:t>Default interest</w:t>
      </w:r>
    </w:p>
    <w:p w:rsidR="0013414C" w:rsidP="0013414C" w:rsidRDefault="0013414C">
      <w:pPr>
        <w:pStyle w:val="JuPara"/>
      </w:pPr>
      <w:r>
        <w:fldChar w:fldCharType="begin"/>
      </w:r>
      <w:r>
        <w:instrText xml:space="preserve"> SEQ level0 \*arabic </w:instrText>
      </w:r>
      <w:r>
        <w:fldChar w:fldCharType="separate"/>
      </w:r>
      <w:r w:rsidR="005F2AA6">
        <w:rPr>
          <w:noProof/>
        </w:rPr>
        <w:t>63</w:t>
      </w:r>
      <w:r>
        <w:fldChar w:fldCharType="end"/>
      </w:r>
      <w:r>
        <w:t xml:space="preserve">.  The Court considers it appropriate that the default interest </w:t>
      </w:r>
      <w:r w:rsidR="00D308CE">
        <w:t xml:space="preserve">rate </w:t>
      </w:r>
      <w:r>
        <w:t>should be based on the marginal lending rate of the European Central Bank, to which should be added three percentage points.</w:t>
      </w:r>
    </w:p>
    <w:p w:rsidR="003424C9" w:rsidP="003424C9" w:rsidRDefault="003424C9">
      <w:pPr>
        <w:pStyle w:val="JuHHead"/>
      </w:pPr>
      <w:r>
        <w:t>FOR THESE REASONS, THE COURT</w:t>
      </w:r>
    </w:p>
    <w:p w:rsidRPr="00090A3B" w:rsidR="00090A3B" w:rsidP="00090A3B" w:rsidRDefault="00090A3B">
      <w:pPr>
        <w:suppressAutoHyphens w:val="0"/>
        <w:ind w:left="340"/>
        <w:rPr>
          <w:rFonts w:ascii="Arial" w:hAnsi="Arial" w:cs="Arial"/>
          <w:color w:val="0000FF"/>
          <w:sz w:val="20"/>
          <w:lang w:eastAsia="en-GB"/>
        </w:rPr>
      </w:pPr>
      <w:r w:rsidRPr="00090A3B">
        <w:rPr>
          <w:color w:val="000000"/>
          <w:szCs w:val="24"/>
          <w:lang w:eastAsia="en-GB"/>
        </w:rPr>
        <w:t>1.  </w:t>
      </w:r>
      <w:r w:rsidRPr="00090A3B">
        <w:rPr>
          <w:i/>
          <w:color w:val="000000"/>
          <w:szCs w:val="24"/>
          <w:lang w:eastAsia="en-GB"/>
        </w:rPr>
        <w:t>Declares</w:t>
      </w:r>
      <w:r w:rsidRPr="00090A3B">
        <w:rPr>
          <w:color w:val="000000"/>
          <w:szCs w:val="24"/>
          <w:lang w:eastAsia="en-GB"/>
        </w:rPr>
        <w:t xml:space="preserve"> the complaint under Article 8 of the Convention admissible;</w:t>
      </w:r>
    </w:p>
    <w:p w:rsidRPr="00090A3B" w:rsidR="00090A3B" w:rsidP="00090A3B" w:rsidRDefault="00090A3B">
      <w:pPr>
        <w:suppressAutoHyphens w:val="0"/>
        <w:ind w:left="340"/>
        <w:rPr>
          <w:rFonts w:ascii="Arial" w:hAnsi="Arial" w:cs="Arial"/>
          <w:color w:val="0000FF"/>
          <w:sz w:val="20"/>
          <w:lang w:eastAsia="en-GB"/>
        </w:rPr>
      </w:pPr>
    </w:p>
    <w:p w:rsidR="008D2B88" w:rsidP="00090A3B" w:rsidRDefault="00090A3B">
      <w:pPr>
        <w:suppressAutoHyphens w:val="0"/>
        <w:ind w:left="340"/>
        <w:rPr>
          <w:color w:val="000000"/>
          <w:szCs w:val="24"/>
          <w:lang w:eastAsia="en-GB"/>
        </w:rPr>
      </w:pPr>
      <w:r w:rsidRPr="00090A3B">
        <w:rPr>
          <w:color w:val="000000"/>
          <w:szCs w:val="24"/>
          <w:lang w:eastAsia="en-GB"/>
        </w:rPr>
        <w:t>2.  </w:t>
      </w:r>
      <w:r w:rsidRPr="00090A3B">
        <w:rPr>
          <w:i/>
          <w:color w:val="000000"/>
          <w:szCs w:val="24"/>
          <w:lang w:eastAsia="en-GB"/>
        </w:rPr>
        <w:t xml:space="preserve">Declares </w:t>
      </w:r>
      <w:r w:rsidRPr="00090A3B">
        <w:rPr>
          <w:color w:val="000000"/>
          <w:szCs w:val="24"/>
          <w:lang w:eastAsia="en-GB"/>
        </w:rPr>
        <w:t>the remainder of the complaint inadmissible;</w:t>
      </w:r>
    </w:p>
    <w:p w:rsidRPr="00090A3B" w:rsidR="00090A3B" w:rsidP="00090A3B" w:rsidRDefault="00090A3B">
      <w:pPr>
        <w:suppressAutoHyphens w:val="0"/>
        <w:rPr>
          <w:rFonts w:ascii="Arial" w:hAnsi="Arial" w:cs="Arial"/>
          <w:color w:val="0000FF"/>
          <w:sz w:val="20"/>
          <w:lang w:eastAsia="en-GB"/>
        </w:rPr>
      </w:pPr>
    </w:p>
    <w:p w:rsidRPr="00090A3B" w:rsidR="00090A3B" w:rsidP="00090A3B" w:rsidRDefault="00090A3B">
      <w:pPr>
        <w:suppressAutoHyphens w:val="0"/>
        <w:ind w:left="340"/>
        <w:rPr>
          <w:rFonts w:ascii="Arial" w:hAnsi="Arial" w:cs="Arial"/>
          <w:color w:val="0000FF"/>
          <w:sz w:val="20"/>
          <w:lang w:eastAsia="en-GB"/>
        </w:rPr>
      </w:pPr>
      <w:r w:rsidRPr="00090A3B">
        <w:rPr>
          <w:color w:val="000000"/>
          <w:szCs w:val="24"/>
          <w:lang w:eastAsia="en-GB"/>
        </w:rPr>
        <w:t>3.  </w:t>
      </w:r>
      <w:r w:rsidRPr="00090A3B">
        <w:rPr>
          <w:i/>
          <w:color w:val="000000"/>
          <w:szCs w:val="24"/>
          <w:lang w:eastAsia="en-GB"/>
        </w:rPr>
        <w:t>Holds</w:t>
      </w:r>
      <w:r w:rsidRPr="00090A3B">
        <w:rPr>
          <w:color w:val="000000"/>
          <w:szCs w:val="24"/>
          <w:lang w:eastAsia="en-GB"/>
        </w:rPr>
        <w:t xml:space="preserve"> that there has been a violation of Article</w:t>
      </w:r>
      <w:r w:rsidR="00102D9C">
        <w:rPr>
          <w:color w:val="000000"/>
          <w:szCs w:val="24"/>
          <w:lang w:eastAsia="en-GB"/>
        </w:rPr>
        <w:t xml:space="preserve"> </w:t>
      </w:r>
      <w:r w:rsidRPr="00090A3B">
        <w:rPr>
          <w:color w:val="000000"/>
          <w:szCs w:val="24"/>
          <w:lang w:eastAsia="en-GB"/>
        </w:rPr>
        <w:t>8 of the Convention;</w:t>
      </w:r>
    </w:p>
    <w:p w:rsidRPr="00090A3B" w:rsidR="00090A3B" w:rsidP="00090A3B" w:rsidRDefault="00090A3B">
      <w:pPr>
        <w:suppressAutoHyphens w:val="0"/>
        <w:ind w:left="340"/>
        <w:rPr>
          <w:rFonts w:ascii="Arial" w:hAnsi="Arial" w:cs="Arial"/>
          <w:color w:val="0000FF"/>
          <w:sz w:val="20"/>
          <w:lang w:eastAsia="en-GB"/>
        </w:rPr>
      </w:pPr>
    </w:p>
    <w:p w:rsidR="004D4D20" w:rsidP="00090A3B" w:rsidRDefault="00090A3B">
      <w:pPr>
        <w:suppressAutoHyphens w:val="0"/>
        <w:ind w:left="340"/>
        <w:jc w:val="both"/>
        <w:rPr>
          <w:color w:val="000000"/>
          <w:szCs w:val="24"/>
          <w:lang w:eastAsia="en-GB"/>
        </w:rPr>
      </w:pPr>
      <w:r w:rsidRPr="00090A3B">
        <w:rPr>
          <w:color w:val="000000"/>
          <w:szCs w:val="24"/>
          <w:lang w:eastAsia="en-GB"/>
        </w:rPr>
        <w:t>4.  </w:t>
      </w:r>
      <w:r w:rsidRPr="00090A3B">
        <w:rPr>
          <w:i/>
          <w:color w:val="000000"/>
          <w:szCs w:val="24"/>
          <w:lang w:eastAsia="en-GB"/>
        </w:rPr>
        <w:t>Holds</w:t>
      </w:r>
    </w:p>
    <w:p w:rsidRPr="00090A3B" w:rsidR="00090A3B" w:rsidP="00423DA5" w:rsidRDefault="00090A3B">
      <w:pPr>
        <w:suppressAutoHyphens w:val="0"/>
        <w:ind w:left="709"/>
        <w:jc w:val="both"/>
        <w:rPr>
          <w:rFonts w:ascii="Arial" w:hAnsi="Arial" w:cs="Arial"/>
          <w:color w:val="0000FF"/>
          <w:sz w:val="20"/>
          <w:lang w:eastAsia="en-GB"/>
        </w:rPr>
      </w:pPr>
      <w:r w:rsidRPr="00090A3B">
        <w:rPr>
          <w:color w:val="000000"/>
          <w:szCs w:val="24"/>
          <w:lang w:eastAsia="en-GB"/>
        </w:rPr>
        <w:t>(a)  that the respondent State is to pay the applicant, within three months from the date</w:t>
      </w:r>
      <w:r w:rsidR="005F19AE">
        <w:rPr>
          <w:color w:val="000000"/>
          <w:szCs w:val="24"/>
          <w:lang w:eastAsia="en-GB"/>
        </w:rPr>
        <w:t xml:space="preserve"> </w:t>
      </w:r>
      <w:r w:rsidRPr="00090A3B">
        <w:rPr>
          <w:color w:val="000000"/>
          <w:szCs w:val="24"/>
          <w:lang w:eastAsia="en-GB"/>
        </w:rPr>
        <w:t>of the adoption of the present judgment, EUR</w:t>
      </w:r>
      <w:r w:rsidR="00751814">
        <w:rPr>
          <w:color w:val="000000"/>
          <w:szCs w:val="24"/>
          <w:lang w:eastAsia="en-GB"/>
        </w:rPr>
        <w:t> </w:t>
      </w:r>
      <w:r w:rsidRPr="00090A3B">
        <w:rPr>
          <w:color w:val="000000"/>
          <w:szCs w:val="24"/>
          <w:lang w:eastAsia="en-GB"/>
        </w:rPr>
        <w:t>2,000 (two thousand euros) in respect of non-pecuniary damage and EUR</w:t>
      </w:r>
      <w:r w:rsidR="00751814">
        <w:rPr>
          <w:color w:val="000000"/>
          <w:szCs w:val="24"/>
          <w:lang w:eastAsia="en-GB"/>
        </w:rPr>
        <w:t> </w:t>
      </w:r>
      <w:r w:rsidRPr="00090A3B">
        <w:rPr>
          <w:color w:val="000000"/>
          <w:szCs w:val="24"/>
          <w:lang w:eastAsia="en-GB"/>
        </w:rPr>
        <w:t>75,000 (seventy-five thousand euros) in costs and expenses, less EUR</w:t>
      </w:r>
      <w:r w:rsidR="00751814">
        <w:rPr>
          <w:color w:val="000000"/>
          <w:szCs w:val="24"/>
          <w:lang w:eastAsia="en-GB"/>
        </w:rPr>
        <w:t> </w:t>
      </w:r>
      <w:r w:rsidRPr="00090A3B">
        <w:rPr>
          <w:color w:val="000000"/>
          <w:szCs w:val="24"/>
          <w:lang w:eastAsia="en-GB"/>
        </w:rPr>
        <w:t>850 (eight hundred and fifty euros)</w:t>
      </w:r>
      <w:r w:rsidRPr="00090A3B">
        <w:rPr>
          <w:b/>
          <w:color w:val="000000"/>
          <w:szCs w:val="24"/>
          <w:lang w:eastAsia="en-GB"/>
        </w:rPr>
        <w:t xml:space="preserve"> </w:t>
      </w:r>
      <w:r w:rsidRPr="00090A3B">
        <w:rPr>
          <w:color w:val="000000"/>
          <w:szCs w:val="24"/>
          <w:lang w:eastAsia="en-GB"/>
        </w:rPr>
        <w:t>in legal aid paid by the Council of Europe, together with</w:t>
      </w:r>
      <w:r w:rsidR="005F19AE">
        <w:rPr>
          <w:color w:val="000000"/>
          <w:szCs w:val="24"/>
          <w:lang w:eastAsia="en-GB"/>
        </w:rPr>
        <w:t xml:space="preserve"> </w:t>
      </w:r>
      <w:r w:rsidRPr="00090A3B">
        <w:rPr>
          <w:color w:val="000000"/>
          <w:szCs w:val="24"/>
          <w:lang w:eastAsia="en-GB"/>
        </w:rPr>
        <w:t>any tax that may be chargeable, which payments are to be converted into pounds sterling at the rate applicable on the date of settlement;</w:t>
      </w:r>
    </w:p>
    <w:p w:rsidR="008D2B88" w:rsidP="00423DA5" w:rsidRDefault="00090A3B">
      <w:pPr>
        <w:suppressAutoHyphens w:val="0"/>
        <w:ind w:left="709"/>
        <w:jc w:val="both"/>
        <w:rPr>
          <w:color w:val="000000"/>
          <w:szCs w:val="24"/>
          <w:lang w:eastAsia="en-GB"/>
        </w:rPr>
      </w:pPr>
      <w:r w:rsidRPr="00090A3B">
        <w:rPr>
          <w:color w:val="000000"/>
          <w:szCs w:val="24"/>
          <w:lang w:eastAsia="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8D2B88" w:rsidP="00090A3B" w:rsidRDefault="008D2B88">
      <w:pPr>
        <w:suppressAutoHyphens w:val="0"/>
        <w:ind w:left="340"/>
        <w:rPr>
          <w:rFonts w:ascii="Arial" w:hAnsi="Arial" w:cs="Arial"/>
          <w:color w:val="0000FF"/>
          <w:sz w:val="20"/>
          <w:lang w:eastAsia="en-GB"/>
        </w:rPr>
      </w:pPr>
    </w:p>
    <w:p w:rsidRPr="00090A3B" w:rsidR="00090A3B" w:rsidP="00090A3B" w:rsidRDefault="00090A3B">
      <w:pPr>
        <w:suppressAutoHyphens w:val="0"/>
        <w:ind w:left="340"/>
        <w:rPr>
          <w:rFonts w:ascii="Arial" w:hAnsi="Arial" w:cs="Arial"/>
          <w:color w:val="0000FF"/>
          <w:sz w:val="20"/>
          <w:lang w:eastAsia="en-GB"/>
        </w:rPr>
      </w:pPr>
      <w:r w:rsidRPr="00090A3B">
        <w:rPr>
          <w:color w:val="000000"/>
          <w:szCs w:val="24"/>
          <w:lang w:eastAsia="en-GB"/>
        </w:rPr>
        <w:t>5.  </w:t>
      </w:r>
      <w:r w:rsidRPr="00090A3B">
        <w:rPr>
          <w:i/>
          <w:color w:val="000000"/>
          <w:szCs w:val="24"/>
          <w:lang w:eastAsia="en-GB"/>
        </w:rPr>
        <w:t>Dismisses</w:t>
      </w:r>
      <w:r w:rsidRPr="00090A3B">
        <w:rPr>
          <w:color w:val="000000"/>
          <w:szCs w:val="24"/>
          <w:lang w:eastAsia="en-GB"/>
        </w:rPr>
        <w:t xml:space="preserve"> the remainder of the applicant</w:t>
      </w:r>
      <w:r w:rsidR="005F2AA6">
        <w:rPr>
          <w:color w:val="000000"/>
          <w:szCs w:val="24"/>
          <w:lang w:eastAsia="en-GB"/>
        </w:rPr>
        <w:t>’</w:t>
      </w:r>
      <w:r w:rsidRPr="00090A3B">
        <w:rPr>
          <w:color w:val="000000"/>
          <w:szCs w:val="24"/>
          <w:lang w:eastAsia="en-GB"/>
        </w:rPr>
        <w:t>s claim for just satisfaction.</w:t>
      </w:r>
    </w:p>
    <w:p w:rsidRPr="002354E4" w:rsidR="000C5228" w:rsidP="000C5228" w:rsidRDefault="00CD49A7">
      <w:pPr>
        <w:pStyle w:val="JuParaLast"/>
      </w:pPr>
      <w:r w:rsidRPr="002354E4">
        <w:t>Done in English</w:t>
      </w:r>
      <w:r w:rsidR="00092EF7">
        <w:t>,</w:t>
      </w:r>
      <w:r w:rsidR="004E51C8">
        <w:t xml:space="preserve"> </w:t>
      </w:r>
      <w:r w:rsidRPr="002354E4">
        <w:t xml:space="preserve">and notified in writing on </w:t>
      </w:r>
      <w:r w:rsidR="00F41F15">
        <w:t>13 May 2008</w:t>
      </w:r>
      <w:r w:rsidRPr="002354E4">
        <w:t>, pursuant to Rule 77 §§ 2 and 3 of the Rules of Court.</w:t>
      </w:r>
    </w:p>
    <w:p w:rsidRPr="00045AFB" w:rsidR="007815D2" w:rsidP="007815D2" w:rsidRDefault="00045AFB">
      <w:pPr>
        <w:pStyle w:val="JuSigned"/>
        <w:keepNext/>
        <w:keepLines/>
      </w:pPr>
      <w:r w:rsidRPr="00045AFB">
        <w:t>Lawrence Ear</w:t>
      </w:r>
      <w:r>
        <w:t>ly</w:t>
      </w:r>
      <w:r w:rsidRPr="00045AFB" w:rsidR="00220521">
        <w:tab/>
      </w:r>
      <w:r w:rsidR="005F2AA6">
        <w:t xml:space="preserve">  </w:t>
      </w:r>
      <w:r w:rsidR="00452825">
        <w:t xml:space="preserve"> </w:t>
      </w:r>
      <w:r>
        <w:t xml:space="preserve">Lech </w:t>
      </w:r>
      <w:proofErr w:type="spellStart"/>
      <w:r>
        <w:t>Garlicki</w:t>
      </w:r>
      <w:proofErr w:type="spellEnd"/>
      <w:r w:rsidRPr="00045AFB" w:rsidR="002354E4">
        <w:br/>
      </w:r>
      <w:r w:rsidR="005F2AA6">
        <w:t xml:space="preserve"> </w:t>
      </w:r>
      <w:r w:rsidR="00A01BBA">
        <w:t xml:space="preserve"> </w:t>
      </w:r>
      <w:r w:rsidRPr="00045AFB" w:rsidR="002354E4">
        <w:t>Registrar</w:t>
      </w:r>
      <w:r w:rsidR="00A01BBA">
        <w:tab/>
      </w:r>
      <w:r w:rsidRPr="00045AFB" w:rsidR="002354E4">
        <w:tab/>
      </w:r>
      <w:r w:rsidR="005F2AA6">
        <w:t xml:space="preserve">  </w:t>
      </w:r>
      <w:r w:rsidR="004D4D20">
        <w:t xml:space="preserve"> </w:t>
      </w:r>
      <w:r w:rsidRPr="00045AFB" w:rsidR="002354E4">
        <w:t>President</w:t>
      </w:r>
    </w:p>
    <w:sectPr w:rsidRPr="00045AFB" w:rsidR="007815D2" w:rsidSect="00776D6F">
      <w:headerReference w:type="even" r:id="rId8"/>
      <w:headerReference w:type="default" r:id="rId9"/>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75" w:rsidRDefault="00EC6B75">
      <w:r>
        <w:separator/>
      </w:r>
    </w:p>
  </w:endnote>
  <w:endnote w:type="continuationSeparator" w:id="0">
    <w:p w:rsidR="00EC6B75" w:rsidRDefault="00EC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75" w:rsidRDefault="00EC6B75">
      <w:r>
        <w:separator/>
      </w:r>
    </w:p>
  </w:footnote>
  <w:footnote w:type="continuationSeparator" w:id="0">
    <w:p w:rsidR="00EC6B75" w:rsidRDefault="00EC6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CB" w:rsidRDefault="009631C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9631CB" w:rsidRPr="00776D6F" w:rsidRDefault="009631CB" w:rsidP="00776D6F">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CB" w:rsidRDefault="009631CB">
    <w:pPr>
      <w:pStyle w:val="JuHeader"/>
    </w:pPr>
    <w:r>
      <w:rPr>
        <w:rStyle w:val="PageNumber"/>
      </w:rPr>
      <w:fldChar w:fldCharType="begin"/>
    </w:r>
    <w:r>
      <w:rPr>
        <w:rStyle w:val="PageNumber"/>
      </w:rPr>
      <w:instrText xml:space="preserve"> PAGE </w:instrText>
    </w:r>
    <w:r>
      <w:rPr>
        <w:rStyle w:val="PageNumber"/>
      </w:rPr>
      <w:fldChar w:fldCharType="separate"/>
    </w:r>
    <w:r w:rsidR="005F2AA6">
      <w:rPr>
        <w:rStyle w:val="PageNumber"/>
        <w:noProof/>
      </w:rPr>
      <w:t>18</w:t>
    </w:r>
    <w:r>
      <w:rPr>
        <w:rStyle w:val="PageNumber"/>
      </w:rPr>
      <w:fldChar w:fldCharType="end"/>
    </w:r>
    <w:r>
      <w:tab/>
      <w:t xml:space="preserve">McCANN v. THE </w:t>
    </w:r>
    <w:smartTag w:uri="urn:schemas-microsoft-com:office:smarttags" w:element="place">
      <w:smartTag w:uri="urn:schemas-microsoft-com:office:smarttags" w:element="country-region">
        <w:r>
          <w:t>UNITED KINGDOM</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CB" w:rsidRDefault="009631CB">
    <w:pPr>
      <w:pStyle w:val="JuHeader"/>
      <w:rPr>
        <w:rStyle w:val="PageNumber"/>
      </w:rPr>
    </w:pPr>
    <w:r>
      <w:tab/>
      <w:t xml:space="preserve">McCANN v. THE </w:t>
    </w:r>
    <w:smartTag w:uri="urn:schemas-microsoft-com:office:smarttags" w:element="place">
      <w:smartTag w:uri="urn:schemas-microsoft-com:office:smarttags" w:element="country-region">
        <w:r>
          <w:t>UNITED KINGDOM</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5F2AA6">
      <w:rPr>
        <w:rStyle w:val="PageNumber"/>
        <w:noProof/>
      </w:rPr>
      <w:t>19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E4"/>
    <w:rsid w:val="000012DA"/>
    <w:rsid w:val="0000310A"/>
    <w:rsid w:val="0000381A"/>
    <w:rsid w:val="000105B5"/>
    <w:rsid w:val="00031785"/>
    <w:rsid w:val="0003257F"/>
    <w:rsid w:val="00037F7D"/>
    <w:rsid w:val="0004467D"/>
    <w:rsid w:val="00045AFB"/>
    <w:rsid w:val="00046B8E"/>
    <w:rsid w:val="000533A9"/>
    <w:rsid w:val="000550F6"/>
    <w:rsid w:val="00060941"/>
    <w:rsid w:val="00067CBE"/>
    <w:rsid w:val="00070758"/>
    <w:rsid w:val="000723A2"/>
    <w:rsid w:val="000726C9"/>
    <w:rsid w:val="00085109"/>
    <w:rsid w:val="000907C4"/>
    <w:rsid w:val="00090A3B"/>
    <w:rsid w:val="000913FE"/>
    <w:rsid w:val="00092EF7"/>
    <w:rsid w:val="0009368E"/>
    <w:rsid w:val="00097D86"/>
    <w:rsid w:val="000A03B5"/>
    <w:rsid w:val="000A7854"/>
    <w:rsid w:val="000A7B79"/>
    <w:rsid w:val="000A7D71"/>
    <w:rsid w:val="000B114C"/>
    <w:rsid w:val="000B6AA6"/>
    <w:rsid w:val="000C1E8B"/>
    <w:rsid w:val="000C5228"/>
    <w:rsid w:val="000C6FAD"/>
    <w:rsid w:val="000E0A61"/>
    <w:rsid w:val="000F00DB"/>
    <w:rsid w:val="000F5861"/>
    <w:rsid w:val="00102B01"/>
    <w:rsid w:val="00102D9C"/>
    <w:rsid w:val="00111B6C"/>
    <w:rsid w:val="001145B1"/>
    <w:rsid w:val="00124600"/>
    <w:rsid w:val="00124DE8"/>
    <w:rsid w:val="00127AED"/>
    <w:rsid w:val="00133630"/>
    <w:rsid w:val="0013414C"/>
    <w:rsid w:val="00136071"/>
    <w:rsid w:val="00136FF8"/>
    <w:rsid w:val="001466FC"/>
    <w:rsid w:val="00150D0E"/>
    <w:rsid w:val="0015233D"/>
    <w:rsid w:val="00157C7F"/>
    <w:rsid w:val="00162310"/>
    <w:rsid w:val="00172470"/>
    <w:rsid w:val="00172BE5"/>
    <w:rsid w:val="0017304A"/>
    <w:rsid w:val="0018052C"/>
    <w:rsid w:val="00182D67"/>
    <w:rsid w:val="001843EB"/>
    <w:rsid w:val="00193838"/>
    <w:rsid w:val="0019546A"/>
    <w:rsid w:val="00195FD1"/>
    <w:rsid w:val="001B64DF"/>
    <w:rsid w:val="001C28BE"/>
    <w:rsid w:val="001D054C"/>
    <w:rsid w:val="001D7D14"/>
    <w:rsid w:val="001E1B1D"/>
    <w:rsid w:val="001E44AA"/>
    <w:rsid w:val="001E6CEB"/>
    <w:rsid w:val="001F1C90"/>
    <w:rsid w:val="001F5D82"/>
    <w:rsid w:val="002006BF"/>
    <w:rsid w:val="00204C3C"/>
    <w:rsid w:val="00205E8A"/>
    <w:rsid w:val="00220521"/>
    <w:rsid w:val="00223AFC"/>
    <w:rsid w:val="00226FE8"/>
    <w:rsid w:val="002354E4"/>
    <w:rsid w:val="00250307"/>
    <w:rsid w:val="00250556"/>
    <w:rsid w:val="00255C83"/>
    <w:rsid w:val="00261840"/>
    <w:rsid w:val="00262291"/>
    <w:rsid w:val="00263049"/>
    <w:rsid w:val="002635FF"/>
    <w:rsid w:val="002637F0"/>
    <w:rsid w:val="00267BF8"/>
    <w:rsid w:val="00273147"/>
    <w:rsid w:val="00276407"/>
    <w:rsid w:val="00277CAB"/>
    <w:rsid w:val="00283F8B"/>
    <w:rsid w:val="002976C2"/>
    <w:rsid w:val="002A244D"/>
    <w:rsid w:val="002B4412"/>
    <w:rsid w:val="002C1611"/>
    <w:rsid w:val="002C1DE0"/>
    <w:rsid w:val="002C605E"/>
    <w:rsid w:val="002D436B"/>
    <w:rsid w:val="002D4C35"/>
    <w:rsid w:val="002D5258"/>
    <w:rsid w:val="002D54C8"/>
    <w:rsid w:val="002E4F16"/>
    <w:rsid w:val="002F1948"/>
    <w:rsid w:val="002F43B7"/>
    <w:rsid w:val="002F4FDD"/>
    <w:rsid w:val="002F68FD"/>
    <w:rsid w:val="00310A22"/>
    <w:rsid w:val="0032554A"/>
    <w:rsid w:val="00327DED"/>
    <w:rsid w:val="003424C9"/>
    <w:rsid w:val="00346DC2"/>
    <w:rsid w:val="00352356"/>
    <w:rsid w:val="003536AC"/>
    <w:rsid w:val="00355B08"/>
    <w:rsid w:val="003602F7"/>
    <w:rsid w:val="003649E3"/>
    <w:rsid w:val="00376C78"/>
    <w:rsid w:val="00384D31"/>
    <w:rsid w:val="00386132"/>
    <w:rsid w:val="0039117A"/>
    <w:rsid w:val="003945BD"/>
    <w:rsid w:val="00396EE0"/>
    <w:rsid w:val="003B1D37"/>
    <w:rsid w:val="003B20E0"/>
    <w:rsid w:val="003C1758"/>
    <w:rsid w:val="003C22F9"/>
    <w:rsid w:val="003C7BDA"/>
    <w:rsid w:val="003D42A7"/>
    <w:rsid w:val="003D59AA"/>
    <w:rsid w:val="003D5FA6"/>
    <w:rsid w:val="003D6652"/>
    <w:rsid w:val="003E0F24"/>
    <w:rsid w:val="003E572F"/>
    <w:rsid w:val="003E5A3C"/>
    <w:rsid w:val="003E5B66"/>
    <w:rsid w:val="003E6AEB"/>
    <w:rsid w:val="003F3645"/>
    <w:rsid w:val="003F76F1"/>
    <w:rsid w:val="003F7BDC"/>
    <w:rsid w:val="00405393"/>
    <w:rsid w:val="00423DA5"/>
    <w:rsid w:val="0043438A"/>
    <w:rsid w:val="004352C7"/>
    <w:rsid w:val="00440EF2"/>
    <w:rsid w:val="00442628"/>
    <w:rsid w:val="00452825"/>
    <w:rsid w:val="004564C0"/>
    <w:rsid w:val="00456E6A"/>
    <w:rsid w:val="004609BF"/>
    <w:rsid w:val="00460CE2"/>
    <w:rsid w:val="00462FE3"/>
    <w:rsid w:val="004653B8"/>
    <w:rsid w:val="004719B6"/>
    <w:rsid w:val="00476C0D"/>
    <w:rsid w:val="00477B5D"/>
    <w:rsid w:val="00480D9D"/>
    <w:rsid w:val="004817D9"/>
    <w:rsid w:val="004820A1"/>
    <w:rsid w:val="004821FC"/>
    <w:rsid w:val="00487E99"/>
    <w:rsid w:val="0049179F"/>
    <w:rsid w:val="0049249D"/>
    <w:rsid w:val="004B0D40"/>
    <w:rsid w:val="004B54D0"/>
    <w:rsid w:val="004D4D20"/>
    <w:rsid w:val="004D4F4E"/>
    <w:rsid w:val="004D7B69"/>
    <w:rsid w:val="004E0737"/>
    <w:rsid w:val="004E51C8"/>
    <w:rsid w:val="004F1FB8"/>
    <w:rsid w:val="004F3AA7"/>
    <w:rsid w:val="004F58B9"/>
    <w:rsid w:val="00502C67"/>
    <w:rsid w:val="00503D57"/>
    <w:rsid w:val="00504E03"/>
    <w:rsid w:val="005235EA"/>
    <w:rsid w:val="00523C94"/>
    <w:rsid w:val="0053681C"/>
    <w:rsid w:val="00540058"/>
    <w:rsid w:val="005413B0"/>
    <w:rsid w:val="00543447"/>
    <w:rsid w:val="00550ACA"/>
    <w:rsid w:val="00551316"/>
    <w:rsid w:val="00553DBB"/>
    <w:rsid w:val="00554720"/>
    <w:rsid w:val="00570D69"/>
    <w:rsid w:val="005803E1"/>
    <w:rsid w:val="00580A33"/>
    <w:rsid w:val="005816B2"/>
    <w:rsid w:val="00587536"/>
    <w:rsid w:val="005877BE"/>
    <w:rsid w:val="00590D71"/>
    <w:rsid w:val="00597D92"/>
    <w:rsid w:val="005B7CF9"/>
    <w:rsid w:val="005C0285"/>
    <w:rsid w:val="005C3509"/>
    <w:rsid w:val="005C65CB"/>
    <w:rsid w:val="005C6864"/>
    <w:rsid w:val="005D4341"/>
    <w:rsid w:val="005D6B02"/>
    <w:rsid w:val="005E202A"/>
    <w:rsid w:val="005E431F"/>
    <w:rsid w:val="005E4D49"/>
    <w:rsid w:val="005E5371"/>
    <w:rsid w:val="005F19AE"/>
    <w:rsid w:val="005F2AA6"/>
    <w:rsid w:val="005F7D55"/>
    <w:rsid w:val="00601F55"/>
    <w:rsid w:val="0060220C"/>
    <w:rsid w:val="0060773C"/>
    <w:rsid w:val="00611DA1"/>
    <w:rsid w:val="00617DEC"/>
    <w:rsid w:val="00617FF1"/>
    <w:rsid w:val="0063652C"/>
    <w:rsid w:val="006456A4"/>
    <w:rsid w:val="006535C4"/>
    <w:rsid w:val="00654FCA"/>
    <w:rsid w:val="00663EDC"/>
    <w:rsid w:val="00664159"/>
    <w:rsid w:val="006663CF"/>
    <w:rsid w:val="00670937"/>
    <w:rsid w:val="00682202"/>
    <w:rsid w:val="0069514D"/>
    <w:rsid w:val="006963A7"/>
    <w:rsid w:val="00697C99"/>
    <w:rsid w:val="006A0AE6"/>
    <w:rsid w:val="006A3764"/>
    <w:rsid w:val="006A6B5E"/>
    <w:rsid w:val="006B4FE9"/>
    <w:rsid w:val="006D2879"/>
    <w:rsid w:val="006D7DF6"/>
    <w:rsid w:val="006E05F9"/>
    <w:rsid w:val="006E5350"/>
    <w:rsid w:val="006F1140"/>
    <w:rsid w:val="00700E8C"/>
    <w:rsid w:val="00701AAB"/>
    <w:rsid w:val="00702CB5"/>
    <w:rsid w:val="00712BBC"/>
    <w:rsid w:val="00715EF2"/>
    <w:rsid w:val="00716079"/>
    <w:rsid w:val="0071777F"/>
    <w:rsid w:val="00720320"/>
    <w:rsid w:val="0072703B"/>
    <w:rsid w:val="00741265"/>
    <w:rsid w:val="00745F20"/>
    <w:rsid w:val="00746D6F"/>
    <w:rsid w:val="00751814"/>
    <w:rsid w:val="00751BC3"/>
    <w:rsid w:val="00753F53"/>
    <w:rsid w:val="0075569B"/>
    <w:rsid w:val="007663F7"/>
    <w:rsid w:val="00775D70"/>
    <w:rsid w:val="00775E8D"/>
    <w:rsid w:val="00776D6F"/>
    <w:rsid w:val="007815D2"/>
    <w:rsid w:val="00782548"/>
    <w:rsid w:val="00794F22"/>
    <w:rsid w:val="0079559F"/>
    <w:rsid w:val="007B2127"/>
    <w:rsid w:val="007B59EF"/>
    <w:rsid w:val="007B64A3"/>
    <w:rsid w:val="007B674B"/>
    <w:rsid w:val="007C7FC9"/>
    <w:rsid w:val="007D2983"/>
    <w:rsid w:val="007D38B1"/>
    <w:rsid w:val="007D3D2D"/>
    <w:rsid w:val="007D40E6"/>
    <w:rsid w:val="007D652D"/>
    <w:rsid w:val="007E10F3"/>
    <w:rsid w:val="007E296E"/>
    <w:rsid w:val="007E66E6"/>
    <w:rsid w:val="007E77F4"/>
    <w:rsid w:val="00800FA0"/>
    <w:rsid w:val="008013F1"/>
    <w:rsid w:val="008029CD"/>
    <w:rsid w:val="00804042"/>
    <w:rsid w:val="00804D29"/>
    <w:rsid w:val="008061BB"/>
    <w:rsid w:val="0082026A"/>
    <w:rsid w:val="00821004"/>
    <w:rsid w:val="00822DFB"/>
    <w:rsid w:val="00823BFA"/>
    <w:rsid w:val="0083439A"/>
    <w:rsid w:val="00836E8F"/>
    <w:rsid w:val="008379CA"/>
    <w:rsid w:val="00860C62"/>
    <w:rsid w:val="00860FE2"/>
    <w:rsid w:val="00870608"/>
    <w:rsid w:val="0088051B"/>
    <w:rsid w:val="00880F59"/>
    <w:rsid w:val="00883DB3"/>
    <w:rsid w:val="008A5BBB"/>
    <w:rsid w:val="008B0E03"/>
    <w:rsid w:val="008B5820"/>
    <w:rsid w:val="008C3E25"/>
    <w:rsid w:val="008C642A"/>
    <w:rsid w:val="008D2B88"/>
    <w:rsid w:val="008D5528"/>
    <w:rsid w:val="008E36F2"/>
    <w:rsid w:val="008E6F60"/>
    <w:rsid w:val="008F4408"/>
    <w:rsid w:val="008F495D"/>
    <w:rsid w:val="0090317D"/>
    <w:rsid w:val="009037BC"/>
    <w:rsid w:val="009040B1"/>
    <w:rsid w:val="00920BC2"/>
    <w:rsid w:val="00940C2D"/>
    <w:rsid w:val="00942B76"/>
    <w:rsid w:val="009432C9"/>
    <w:rsid w:val="00947FF3"/>
    <w:rsid w:val="009509E4"/>
    <w:rsid w:val="00954941"/>
    <w:rsid w:val="00957018"/>
    <w:rsid w:val="009578FF"/>
    <w:rsid w:val="009607CB"/>
    <w:rsid w:val="009631CB"/>
    <w:rsid w:val="00965FAA"/>
    <w:rsid w:val="00967393"/>
    <w:rsid w:val="009732BD"/>
    <w:rsid w:val="00974FC3"/>
    <w:rsid w:val="009759D6"/>
    <w:rsid w:val="00975DEF"/>
    <w:rsid w:val="00976739"/>
    <w:rsid w:val="00977E89"/>
    <w:rsid w:val="0098243C"/>
    <w:rsid w:val="00983D20"/>
    <w:rsid w:val="00986050"/>
    <w:rsid w:val="00986C30"/>
    <w:rsid w:val="00986F6B"/>
    <w:rsid w:val="00995741"/>
    <w:rsid w:val="009A0233"/>
    <w:rsid w:val="009A5A61"/>
    <w:rsid w:val="009B0C2A"/>
    <w:rsid w:val="009B298D"/>
    <w:rsid w:val="009B3422"/>
    <w:rsid w:val="009B6942"/>
    <w:rsid w:val="009C23E1"/>
    <w:rsid w:val="009C503B"/>
    <w:rsid w:val="009C6634"/>
    <w:rsid w:val="009D5B80"/>
    <w:rsid w:val="009E18E7"/>
    <w:rsid w:val="009E53C4"/>
    <w:rsid w:val="009F0EEC"/>
    <w:rsid w:val="009F4B1C"/>
    <w:rsid w:val="009F4C41"/>
    <w:rsid w:val="009F66CC"/>
    <w:rsid w:val="00A01BBA"/>
    <w:rsid w:val="00A05D9C"/>
    <w:rsid w:val="00A13306"/>
    <w:rsid w:val="00A16917"/>
    <w:rsid w:val="00A27D16"/>
    <w:rsid w:val="00A301D2"/>
    <w:rsid w:val="00A30D34"/>
    <w:rsid w:val="00A325D5"/>
    <w:rsid w:val="00A36CCA"/>
    <w:rsid w:val="00A3713B"/>
    <w:rsid w:val="00A45193"/>
    <w:rsid w:val="00A4692F"/>
    <w:rsid w:val="00A47EE9"/>
    <w:rsid w:val="00A5351F"/>
    <w:rsid w:val="00A53A1D"/>
    <w:rsid w:val="00A53AF2"/>
    <w:rsid w:val="00A5569F"/>
    <w:rsid w:val="00A61C39"/>
    <w:rsid w:val="00A6207C"/>
    <w:rsid w:val="00A63C7F"/>
    <w:rsid w:val="00A76F5E"/>
    <w:rsid w:val="00A773CE"/>
    <w:rsid w:val="00A811C2"/>
    <w:rsid w:val="00A82E90"/>
    <w:rsid w:val="00A85CDA"/>
    <w:rsid w:val="00A869CB"/>
    <w:rsid w:val="00A86BDC"/>
    <w:rsid w:val="00AA2C6E"/>
    <w:rsid w:val="00AA3230"/>
    <w:rsid w:val="00AB193C"/>
    <w:rsid w:val="00AC2022"/>
    <w:rsid w:val="00AE57C3"/>
    <w:rsid w:val="00AF139E"/>
    <w:rsid w:val="00AF28D1"/>
    <w:rsid w:val="00B17EC7"/>
    <w:rsid w:val="00B251CA"/>
    <w:rsid w:val="00B332AD"/>
    <w:rsid w:val="00B65467"/>
    <w:rsid w:val="00B66245"/>
    <w:rsid w:val="00B71C55"/>
    <w:rsid w:val="00B725D4"/>
    <w:rsid w:val="00B777C5"/>
    <w:rsid w:val="00B97214"/>
    <w:rsid w:val="00BA30DB"/>
    <w:rsid w:val="00BB0F8E"/>
    <w:rsid w:val="00BB1DC1"/>
    <w:rsid w:val="00BC1D3B"/>
    <w:rsid w:val="00BD34B9"/>
    <w:rsid w:val="00BD3F17"/>
    <w:rsid w:val="00C00640"/>
    <w:rsid w:val="00C0334D"/>
    <w:rsid w:val="00C07ECF"/>
    <w:rsid w:val="00C10EDE"/>
    <w:rsid w:val="00C12567"/>
    <w:rsid w:val="00C2188F"/>
    <w:rsid w:val="00C277EC"/>
    <w:rsid w:val="00C37E9B"/>
    <w:rsid w:val="00C40817"/>
    <w:rsid w:val="00C426E7"/>
    <w:rsid w:val="00C44AC0"/>
    <w:rsid w:val="00C45E20"/>
    <w:rsid w:val="00C463CE"/>
    <w:rsid w:val="00C50AE0"/>
    <w:rsid w:val="00C51932"/>
    <w:rsid w:val="00C53E1B"/>
    <w:rsid w:val="00C54705"/>
    <w:rsid w:val="00C6502E"/>
    <w:rsid w:val="00C66EF2"/>
    <w:rsid w:val="00C861BA"/>
    <w:rsid w:val="00C873DC"/>
    <w:rsid w:val="00C90619"/>
    <w:rsid w:val="00C96A0A"/>
    <w:rsid w:val="00CB6ADB"/>
    <w:rsid w:val="00CC625E"/>
    <w:rsid w:val="00CD42D3"/>
    <w:rsid w:val="00CD49A7"/>
    <w:rsid w:val="00CD6E74"/>
    <w:rsid w:val="00CD789B"/>
    <w:rsid w:val="00CE1995"/>
    <w:rsid w:val="00CE293A"/>
    <w:rsid w:val="00CF0572"/>
    <w:rsid w:val="00D01678"/>
    <w:rsid w:val="00D02611"/>
    <w:rsid w:val="00D161C8"/>
    <w:rsid w:val="00D1684F"/>
    <w:rsid w:val="00D207D5"/>
    <w:rsid w:val="00D26879"/>
    <w:rsid w:val="00D27BE0"/>
    <w:rsid w:val="00D308CE"/>
    <w:rsid w:val="00D35E1B"/>
    <w:rsid w:val="00D40EB7"/>
    <w:rsid w:val="00D50E6B"/>
    <w:rsid w:val="00D64AAD"/>
    <w:rsid w:val="00D71BD0"/>
    <w:rsid w:val="00D71FB9"/>
    <w:rsid w:val="00D72A38"/>
    <w:rsid w:val="00D74EA1"/>
    <w:rsid w:val="00D751F4"/>
    <w:rsid w:val="00D90F55"/>
    <w:rsid w:val="00D93AA4"/>
    <w:rsid w:val="00D97AA1"/>
    <w:rsid w:val="00DA1508"/>
    <w:rsid w:val="00DA2739"/>
    <w:rsid w:val="00DA7880"/>
    <w:rsid w:val="00DB1288"/>
    <w:rsid w:val="00DB6117"/>
    <w:rsid w:val="00DB648F"/>
    <w:rsid w:val="00DC0182"/>
    <w:rsid w:val="00DC20FF"/>
    <w:rsid w:val="00DC6580"/>
    <w:rsid w:val="00DD10B3"/>
    <w:rsid w:val="00DD39EA"/>
    <w:rsid w:val="00DD7A59"/>
    <w:rsid w:val="00DE2A62"/>
    <w:rsid w:val="00DE5D14"/>
    <w:rsid w:val="00DF2DD7"/>
    <w:rsid w:val="00E06626"/>
    <w:rsid w:val="00E14ABB"/>
    <w:rsid w:val="00E17961"/>
    <w:rsid w:val="00E20E75"/>
    <w:rsid w:val="00E21307"/>
    <w:rsid w:val="00E214E5"/>
    <w:rsid w:val="00E21EFE"/>
    <w:rsid w:val="00E24A47"/>
    <w:rsid w:val="00E26C2E"/>
    <w:rsid w:val="00E47405"/>
    <w:rsid w:val="00E5169A"/>
    <w:rsid w:val="00E535DC"/>
    <w:rsid w:val="00E56B07"/>
    <w:rsid w:val="00E817D2"/>
    <w:rsid w:val="00E84D7B"/>
    <w:rsid w:val="00E9259E"/>
    <w:rsid w:val="00E9311D"/>
    <w:rsid w:val="00E95550"/>
    <w:rsid w:val="00EA482B"/>
    <w:rsid w:val="00EA5B63"/>
    <w:rsid w:val="00EB246D"/>
    <w:rsid w:val="00EC07AC"/>
    <w:rsid w:val="00EC4149"/>
    <w:rsid w:val="00EC6B75"/>
    <w:rsid w:val="00ED027A"/>
    <w:rsid w:val="00ED0B36"/>
    <w:rsid w:val="00ED772B"/>
    <w:rsid w:val="00EE13F4"/>
    <w:rsid w:val="00EE5254"/>
    <w:rsid w:val="00EE5D77"/>
    <w:rsid w:val="00EF22D1"/>
    <w:rsid w:val="00EF53ED"/>
    <w:rsid w:val="00EF58C2"/>
    <w:rsid w:val="00EF6CAC"/>
    <w:rsid w:val="00F06FF0"/>
    <w:rsid w:val="00F13C6C"/>
    <w:rsid w:val="00F14C71"/>
    <w:rsid w:val="00F15D57"/>
    <w:rsid w:val="00F21133"/>
    <w:rsid w:val="00F233E8"/>
    <w:rsid w:val="00F2394E"/>
    <w:rsid w:val="00F24007"/>
    <w:rsid w:val="00F27F55"/>
    <w:rsid w:val="00F41F15"/>
    <w:rsid w:val="00F42695"/>
    <w:rsid w:val="00F43833"/>
    <w:rsid w:val="00F43C47"/>
    <w:rsid w:val="00F47D0F"/>
    <w:rsid w:val="00F63EA7"/>
    <w:rsid w:val="00F711BB"/>
    <w:rsid w:val="00F737E3"/>
    <w:rsid w:val="00F75271"/>
    <w:rsid w:val="00F761B2"/>
    <w:rsid w:val="00F7744F"/>
    <w:rsid w:val="00F77F0F"/>
    <w:rsid w:val="00F843B7"/>
    <w:rsid w:val="00F87F77"/>
    <w:rsid w:val="00F92A55"/>
    <w:rsid w:val="00FA439A"/>
    <w:rsid w:val="00FA5CC0"/>
    <w:rsid w:val="00FA5FBC"/>
    <w:rsid w:val="00FA7745"/>
    <w:rsid w:val="00FB495F"/>
    <w:rsid w:val="00FB4A91"/>
    <w:rsid w:val="00FB4CFD"/>
    <w:rsid w:val="00FC7936"/>
    <w:rsid w:val="00FE1EEB"/>
    <w:rsid w:val="00FE5FB1"/>
    <w:rsid w:val="00FE60C1"/>
    <w:rsid w:val="00FF5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styleId="Hyperlink">
    <w:name w:val="Hyperlink"/>
    <w:rsid w:val="002354E4"/>
    <w:rPr>
      <w:color w:val="0000FF"/>
      <w:u w:val="single"/>
    </w:rPr>
  </w:style>
  <w:style w:type="character" w:customStyle="1" w:styleId="JuParaChar">
    <w:name w:val="Ju_Para Char"/>
    <w:link w:val="JuPara"/>
    <w:rsid w:val="00405393"/>
    <w:rPr>
      <w:sz w:val="24"/>
      <w:lang w:val="en-GB" w:eastAsia="fr-FR" w:bidi="ar-SA"/>
    </w:rPr>
  </w:style>
  <w:style w:type="paragraph" w:customStyle="1" w:styleId="ju-005fh-005fhead">
    <w:name w:val="ju-005fh-005fhead"/>
    <w:basedOn w:val="Normal"/>
    <w:rsid w:val="00480D9D"/>
    <w:pPr>
      <w:suppressAutoHyphens w:val="0"/>
      <w:spacing w:before="100" w:beforeAutospacing="1" w:after="100" w:afterAutospacing="1"/>
    </w:pPr>
    <w:rPr>
      <w:szCs w:val="24"/>
      <w:lang w:eastAsia="en-GB"/>
    </w:rPr>
  </w:style>
  <w:style w:type="paragraph" w:customStyle="1" w:styleId="ju-005fh-005fi-005froman">
    <w:name w:val="ju-005fh-005fi-005froman"/>
    <w:basedOn w:val="Normal"/>
    <w:rsid w:val="00480D9D"/>
    <w:pPr>
      <w:suppressAutoHyphens w:val="0"/>
      <w:spacing w:before="100" w:beforeAutospacing="1" w:after="100" w:afterAutospacing="1"/>
    </w:pPr>
    <w:rPr>
      <w:szCs w:val="24"/>
      <w:lang w:eastAsia="en-GB"/>
    </w:rPr>
  </w:style>
  <w:style w:type="paragraph" w:customStyle="1" w:styleId="ju-005fpara">
    <w:name w:val="ju-005fpara"/>
    <w:basedOn w:val="Normal"/>
    <w:rsid w:val="00480D9D"/>
    <w:pPr>
      <w:suppressAutoHyphens w:val="0"/>
      <w:spacing w:before="100" w:beforeAutospacing="1" w:after="100" w:afterAutospacing="1"/>
    </w:pPr>
    <w:rPr>
      <w:szCs w:val="24"/>
      <w:lang w:eastAsia="en-GB"/>
    </w:rPr>
  </w:style>
  <w:style w:type="paragraph" w:customStyle="1" w:styleId="ju-005fquot">
    <w:name w:val="ju-005fquot"/>
    <w:basedOn w:val="Normal"/>
    <w:rsid w:val="00480D9D"/>
    <w:pPr>
      <w:suppressAutoHyphens w:val="0"/>
      <w:spacing w:before="100" w:beforeAutospacing="1" w:after="100" w:afterAutospacing="1"/>
    </w:pPr>
    <w:rPr>
      <w:szCs w:val="24"/>
      <w:lang w:eastAsia="en-GB"/>
    </w:rPr>
  </w:style>
  <w:style w:type="paragraph" w:customStyle="1" w:styleId="ju-005fh-005fa">
    <w:name w:val="ju-005fh-005fa"/>
    <w:basedOn w:val="Normal"/>
    <w:rsid w:val="008B0E03"/>
    <w:pPr>
      <w:suppressAutoHyphens w:val="0"/>
      <w:spacing w:before="100" w:beforeAutospacing="1" w:after="100" w:afterAutospacing="1"/>
    </w:pPr>
    <w:rPr>
      <w:szCs w:val="24"/>
      <w:lang w:eastAsia="en-GB"/>
    </w:rPr>
  </w:style>
  <w:style w:type="paragraph" w:customStyle="1" w:styleId="ju-005fh-005f1-002e">
    <w:name w:val="ju-005fh-005f1-002e"/>
    <w:basedOn w:val="Normal"/>
    <w:rsid w:val="009B0C2A"/>
    <w:pPr>
      <w:suppressAutoHyphens w:val="0"/>
      <w:spacing w:before="100" w:beforeAutospacing="1" w:after="100" w:afterAutospacing="1"/>
    </w:pPr>
    <w:rPr>
      <w:szCs w:val="24"/>
      <w:lang w:eastAsia="en-GB"/>
    </w:rPr>
  </w:style>
  <w:style w:type="character" w:customStyle="1" w:styleId="ju-005fpara--char">
    <w:name w:val="ju-005fpara--char"/>
    <w:basedOn w:val="DefaultParagraphFont"/>
    <w:rsid w:val="00FA5CC0"/>
  </w:style>
  <w:style w:type="character" w:customStyle="1" w:styleId="JuJudgesChar">
    <w:name w:val="Ju_Judges Char"/>
    <w:link w:val="JuJudges"/>
    <w:rsid w:val="00E26C2E"/>
    <w:rPr>
      <w:sz w:val="24"/>
      <w:lang w:val="en-GB" w:eastAsia="fr-FR" w:bidi="ar-SA"/>
    </w:rPr>
  </w:style>
  <w:style w:type="paragraph" w:customStyle="1" w:styleId="julist0">
    <w:name w:val="julist"/>
    <w:basedOn w:val="Normal"/>
    <w:rsid w:val="00090A3B"/>
    <w:pPr>
      <w:suppressAutoHyphens w:val="0"/>
      <w:spacing w:before="100" w:beforeAutospacing="1" w:after="100" w:afterAutospacing="1"/>
    </w:pPr>
    <w:rPr>
      <w:szCs w:val="24"/>
      <w:lang w:eastAsia="en-GB"/>
    </w:rPr>
  </w:style>
  <w:style w:type="paragraph" w:customStyle="1" w:styleId="jupara0">
    <w:name w:val="jupara"/>
    <w:basedOn w:val="Normal"/>
    <w:rsid w:val="00090A3B"/>
    <w:pPr>
      <w:suppressAutoHyphens w:val="0"/>
      <w:spacing w:before="100" w:beforeAutospacing="1" w:after="100" w:afterAutospacing="1"/>
    </w:pPr>
    <w:rPr>
      <w:szCs w:val="24"/>
      <w:lang w:eastAsia="en-GB"/>
    </w:rPr>
  </w:style>
  <w:style w:type="paragraph" w:customStyle="1" w:styleId="julista0">
    <w:name w:val="julista"/>
    <w:basedOn w:val="Normal"/>
    <w:rsid w:val="00090A3B"/>
    <w:pPr>
      <w:suppressAutoHyphens w:val="0"/>
      <w:spacing w:before="100" w:beforeAutospacing="1" w:after="100" w:afterAutospacing="1"/>
    </w:pPr>
    <w:rPr>
      <w:szCs w:val="24"/>
      <w:lang w:eastAsia="en-GB"/>
    </w:rPr>
  </w:style>
  <w:style w:type="paragraph" w:styleId="Revision">
    <w:name w:val="Revision"/>
    <w:hidden/>
    <w:uiPriority w:val="99"/>
    <w:semiHidden/>
    <w:rsid w:val="009B3422"/>
    <w:rPr>
      <w:sz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4558">
      <w:bodyDiv w:val="1"/>
      <w:marLeft w:val="0"/>
      <w:marRight w:val="0"/>
      <w:marTop w:val="0"/>
      <w:marBottom w:val="0"/>
      <w:divBdr>
        <w:top w:val="none" w:sz="0" w:space="0" w:color="auto"/>
        <w:left w:val="none" w:sz="0" w:space="0" w:color="auto"/>
        <w:bottom w:val="none" w:sz="0" w:space="0" w:color="auto"/>
        <w:right w:val="none" w:sz="0" w:space="0" w:color="auto"/>
      </w:divBdr>
    </w:div>
    <w:div w:id="553850860">
      <w:bodyDiv w:val="1"/>
      <w:marLeft w:val="0"/>
      <w:marRight w:val="0"/>
      <w:marTop w:val="0"/>
      <w:marBottom w:val="0"/>
      <w:divBdr>
        <w:top w:val="none" w:sz="0" w:space="0" w:color="auto"/>
        <w:left w:val="none" w:sz="0" w:space="0" w:color="auto"/>
        <w:bottom w:val="none" w:sz="0" w:space="0" w:color="auto"/>
        <w:right w:val="none" w:sz="0" w:space="0" w:color="auto"/>
      </w:divBdr>
    </w:div>
    <w:div w:id="608322436">
      <w:bodyDiv w:val="1"/>
      <w:marLeft w:val="0"/>
      <w:marRight w:val="0"/>
      <w:marTop w:val="0"/>
      <w:marBottom w:val="0"/>
      <w:divBdr>
        <w:top w:val="none" w:sz="0" w:space="0" w:color="auto"/>
        <w:left w:val="none" w:sz="0" w:space="0" w:color="auto"/>
        <w:bottom w:val="none" w:sz="0" w:space="0" w:color="auto"/>
        <w:right w:val="none" w:sz="0" w:space="0" w:color="auto"/>
      </w:divBdr>
    </w:div>
    <w:div w:id="761342360">
      <w:bodyDiv w:val="1"/>
      <w:marLeft w:val="0"/>
      <w:marRight w:val="0"/>
      <w:marTop w:val="0"/>
      <w:marBottom w:val="0"/>
      <w:divBdr>
        <w:top w:val="none" w:sz="0" w:space="0" w:color="auto"/>
        <w:left w:val="none" w:sz="0" w:space="0" w:color="auto"/>
        <w:bottom w:val="none" w:sz="0" w:space="0" w:color="auto"/>
        <w:right w:val="none" w:sz="0" w:space="0" w:color="auto"/>
      </w:divBdr>
    </w:div>
    <w:div w:id="10353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7C843-64A7-4113-B16E-C20F488313C1}"/>
</file>

<file path=customXml/itemProps2.xml><?xml version="1.0" encoding="utf-8"?>
<ds:datastoreItem xmlns:ds="http://schemas.openxmlformats.org/officeDocument/2006/customXml" ds:itemID="{82822219-B1DC-426E-87BE-6C3D7939A346}"/>
</file>

<file path=customXml/itemProps3.xml><?xml version="1.0" encoding="utf-8"?>
<ds:datastoreItem xmlns:ds="http://schemas.openxmlformats.org/officeDocument/2006/customXml" ds:itemID="{D6F5B4BC-3139-43A0-A918-F2B1C225588B}"/>
</file>

<file path=docProps/app.xml><?xml version="1.0" encoding="utf-8"?>
<Properties xmlns="http://schemas.openxmlformats.org/officeDocument/2006/extended-properties" xmlns:vt="http://schemas.openxmlformats.org/officeDocument/2006/docPropsVTypes">
  <Template>Normal.dotm</Template>
  <TotalTime>9</TotalTime>
  <Pages>1</Pages>
  <Words>8129</Words>
  <Characters>46340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54361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cp:lastModifiedBy/>
  <cp:revision>2</cp:revision>
  <cp:lastPrinted>2009-07-20T13:47:00Z</cp:lastPrinted>
  <dcterms:created xsi:type="dcterms:W3CDTF">2019-04-04T13:01:00Z</dcterms:created>
  <dcterms:modified xsi:type="dcterms:W3CDTF">2019-04-04T13:01:00Z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