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RPr="00FF4737">
        <w:trPr>
          <w:trHeight w:val="851"/>
        </w:trPr>
        <w:tc>
          <w:tcPr>
            <w:tcW w:w="1259" w:type="dxa"/>
            <w:tcBorders>
              <w:top w:val="nil"/>
              <w:left w:val="nil"/>
              <w:bottom w:val="single" w:sz="4" w:space="0" w:color="auto"/>
              <w:right w:val="nil"/>
            </w:tcBorders>
          </w:tcPr>
          <w:p w:rsidR="00446DE4" w:rsidRPr="00FF4737" w:rsidRDefault="00446DE4" w:rsidP="00E806EE">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FF4737" w:rsidRDefault="00446DE4" w:rsidP="0022130F">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FF4737" w:rsidRDefault="00342EC7" w:rsidP="00342EC7">
            <w:pPr>
              <w:jc w:val="right"/>
            </w:pPr>
            <w:r w:rsidRPr="00FF4737">
              <w:rPr>
                <w:sz w:val="40"/>
              </w:rPr>
              <w:t>A</w:t>
            </w:r>
            <w:r w:rsidR="000C1260" w:rsidRPr="00356AA1">
              <w:rPr>
                <w:sz w:val="20"/>
              </w:rPr>
              <w:t>/HRC/34/62</w:t>
            </w:r>
            <w:r w:rsidRPr="00356AA1">
              <w:rPr>
                <w:sz w:val="20"/>
              </w:rPr>
              <w:t>/Add.1</w:t>
            </w:r>
          </w:p>
        </w:tc>
      </w:tr>
      <w:tr w:rsidR="003107FA" w:rsidRPr="00FF4737">
        <w:trPr>
          <w:trHeight w:val="2835"/>
        </w:trPr>
        <w:tc>
          <w:tcPr>
            <w:tcW w:w="1259" w:type="dxa"/>
            <w:tcBorders>
              <w:top w:val="single" w:sz="4" w:space="0" w:color="auto"/>
              <w:left w:val="nil"/>
              <w:bottom w:val="single" w:sz="12" w:space="0" w:color="auto"/>
              <w:right w:val="nil"/>
            </w:tcBorders>
          </w:tcPr>
          <w:p w:rsidR="003107FA" w:rsidRPr="00FF4737" w:rsidRDefault="003107FA" w:rsidP="00956D9B">
            <w:pPr>
              <w:spacing w:before="120"/>
              <w:jc w:val="center"/>
            </w:pPr>
          </w:p>
        </w:tc>
        <w:tc>
          <w:tcPr>
            <w:tcW w:w="5450" w:type="dxa"/>
            <w:gridSpan w:val="2"/>
            <w:tcBorders>
              <w:top w:val="single" w:sz="4" w:space="0" w:color="auto"/>
              <w:left w:val="nil"/>
              <w:bottom w:val="single" w:sz="12" w:space="0" w:color="auto"/>
              <w:right w:val="nil"/>
            </w:tcBorders>
          </w:tcPr>
          <w:p w:rsidR="003107FA" w:rsidRPr="00FF4737" w:rsidRDefault="00FB79DF" w:rsidP="00EF5BDB">
            <w:pPr>
              <w:spacing w:before="120" w:line="420" w:lineRule="exact"/>
              <w:rPr>
                <w:b/>
                <w:sz w:val="40"/>
                <w:szCs w:val="40"/>
              </w:rPr>
            </w:pPr>
            <w:r>
              <w:rPr>
                <w:b/>
                <w:sz w:val="40"/>
                <w:szCs w:val="40"/>
              </w:rPr>
              <w:t>Advance edited version</w:t>
            </w:r>
          </w:p>
        </w:tc>
        <w:tc>
          <w:tcPr>
            <w:tcW w:w="2930" w:type="dxa"/>
            <w:tcBorders>
              <w:top w:val="single" w:sz="4" w:space="0" w:color="auto"/>
              <w:left w:val="nil"/>
              <w:bottom w:val="single" w:sz="12" w:space="0" w:color="auto"/>
              <w:right w:val="nil"/>
            </w:tcBorders>
          </w:tcPr>
          <w:p w:rsidR="003107FA" w:rsidRPr="00356AA1" w:rsidRDefault="00342EC7" w:rsidP="00342EC7">
            <w:pPr>
              <w:spacing w:before="240" w:line="240" w:lineRule="exact"/>
              <w:rPr>
                <w:sz w:val="20"/>
              </w:rPr>
            </w:pPr>
            <w:r w:rsidRPr="00356AA1">
              <w:rPr>
                <w:sz w:val="20"/>
              </w:rPr>
              <w:t>Distr.: General</w:t>
            </w:r>
          </w:p>
          <w:p w:rsidR="00342EC7" w:rsidRPr="00356AA1" w:rsidRDefault="00432A5E" w:rsidP="00342EC7">
            <w:pPr>
              <w:spacing w:line="240" w:lineRule="exact"/>
              <w:rPr>
                <w:sz w:val="20"/>
              </w:rPr>
            </w:pPr>
            <w:r>
              <w:rPr>
                <w:sz w:val="20"/>
              </w:rPr>
              <w:t>1</w:t>
            </w:r>
            <w:r w:rsidR="00716894">
              <w:rPr>
                <w:sz w:val="20"/>
              </w:rPr>
              <w:t>7</w:t>
            </w:r>
            <w:r>
              <w:rPr>
                <w:sz w:val="20"/>
              </w:rPr>
              <w:t xml:space="preserve"> November</w:t>
            </w:r>
            <w:r w:rsidR="00342EC7" w:rsidRPr="00356AA1">
              <w:rPr>
                <w:sz w:val="20"/>
              </w:rPr>
              <w:t xml:space="preserve"> 2016 </w:t>
            </w:r>
          </w:p>
          <w:p w:rsidR="00342EC7" w:rsidRPr="00356AA1" w:rsidRDefault="00342EC7" w:rsidP="00342EC7">
            <w:pPr>
              <w:spacing w:line="240" w:lineRule="exact"/>
              <w:rPr>
                <w:sz w:val="20"/>
              </w:rPr>
            </w:pPr>
          </w:p>
          <w:p w:rsidR="00342EC7" w:rsidRPr="00FF4737" w:rsidRDefault="00342EC7" w:rsidP="00342EC7">
            <w:pPr>
              <w:spacing w:line="240" w:lineRule="exact"/>
            </w:pPr>
            <w:r w:rsidRPr="00356AA1">
              <w:rPr>
                <w:sz w:val="20"/>
              </w:rPr>
              <w:t>Original: English</w:t>
            </w:r>
          </w:p>
        </w:tc>
      </w:tr>
    </w:tbl>
    <w:p w:rsidR="00F71677" w:rsidRPr="00356AA1" w:rsidRDefault="00F71677" w:rsidP="00F71677">
      <w:pPr>
        <w:rPr>
          <w:b/>
          <w:sz w:val="20"/>
        </w:rPr>
      </w:pPr>
      <w:r w:rsidRPr="00356AA1">
        <w:rPr>
          <w:b/>
          <w:sz w:val="20"/>
        </w:rPr>
        <w:t>Human Rights Council</w:t>
      </w:r>
    </w:p>
    <w:p w:rsidR="00F71677" w:rsidRPr="00356AA1" w:rsidRDefault="000C1260" w:rsidP="00F71677">
      <w:pPr>
        <w:rPr>
          <w:b/>
          <w:sz w:val="20"/>
        </w:rPr>
      </w:pPr>
      <w:r w:rsidRPr="00356AA1">
        <w:rPr>
          <w:b/>
          <w:sz w:val="20"/>
        </w:rPr>
        <w:t>Thirty-fourth</w:t>
      </w:r>
      <w:r w:rsidR="00F71677" w:rsidRPr="00356AA1">
        <w:rPr>
          <w:b/>
          <w:sz w:val="20"/>
        </w:rPr>
        <w:t xml:space="preserve"> </w:t>
      </w:r>
      <w:proofErr w:type="gramStart"/>
      <w:r w:rsidR="00F71677" w:rsidRPr="00356AA1">
        <w:rPr>
          <w:b/>
          <w:sz w:val="20"/>
        </w:rPr>
        <w:t>session</w:t>
      </w:r>
      <w:proofErr w:type="gramEnd"/>
    </w:p>
    <w:p w:rsidR="00F71677" w:rsidRPr="00356AA1" w:rsidRDefault="00F71677" w:rsidP="00F71677">
      <w:pPr>
        <w:pStyle w:val="Body1"/>
        <w:rPr>
          <w:sz w:val="20"/>
        </w:rPr>
      </w:pPr>
      <w:r w:rsidRPr="00356AA1">
        <w:rPr>
          <w:rFonts w:hAnsi="Arial Unicode MS"/>
          <w:sz w:val="20"/>
        </w:rPr>
        <w:t>Agenda item 3</w:t>
      </w:r>
    </w:p>
    <w:p w:rsidR="00F71677" w:rsidRPr="00356AA1" w:rsidRDefault="00F71677" w:rsidP="00F71677">
      <w:pPr>
        <w:rPr>
          <w:b/>
          <w:sz w:val="20"/>
        </w:rPr>
      </w:pPr>
      <w:r w:rsidRPr="00356AA1">
        <w:rPr>
          <w:b/>
          <w:sz w:val="20"/>
        </w:rPr>
        <w:t>Promotion and protection of all human rights, civil,</w:t>
      </w:r>
    </w:p>
    <w:p w:rsidR="00F71677" w:rsidRPr="00356AA1" w:rsidRDefault="00F71677" w:rsidP="00F71677">
      <w:pPr>
        <w:rPr>
          <w:b/>
          <w:sz w:val="20"/>
        </w:rPr>
      </w:pPr>
      <w:proofErr w:type="gramStart"/>
      <w:r w:rsidRPr="00356AA1">
        <w:rPr>
          <w:b/>
          <w:sz w:val="20"/>
        </w:rPr>
        <w:t>political</w:t>
      </w:r>
      <w:proofErr w:type="gramEnd"/>
      <w:r w:rsidRPr="00356AA1">
        <w:rPr>
          <w:b/>
          <w:sz w:val="20"/>
        </w:rPr>
        <w:t>, economic, social and cultural rights,</w:t>
      </w:r>
    </w:p>
    <w:p w:rsidR="00F71677" w:rsidRPr="00FF4737" w:rsidRDefault="00F71677" w:rsidP="00F71677">
      <w:pPr>
        <w:rPr>
          <w:b/>
        </w:rPr>
      </w:pPr>
      <w:proofErr w:type="gramStart"/>
      <w:r w:rsidRPr="00356AA1">
        <w:rPr>
          <w:b/>
          <w:sz w:val="20"/>
        </w:rPr>
        <w:t>including</w:t>
      </w:r>
      <w:proofErr w:type="gramEnd"/>
      <w:r w:rsidRPr="00356AA1">
        <w:rPr>
          <w:b/>
          <w:sz w:val="20"/>
        </w:rPr>
        <w:t xml:space="preserve"> the right to development</w:t>
      </w:r>
    </w:p>
    <w:p w:rsidR="00F71677" w:rsidRPr="00FF4737" w:rsidRDefault="00F71677" w:rsidP="00F71677">
      <w:pPr>
        <w:pStyle w:val="HChG"/>
        <w:rPr>
          <w:rFonts w:eastAsia="Calibri"/>
        </w:rPr>
      </w:pPr>
      <w:r w:rsidRPr="00FF4737">
        <w:rPr>
          <w:rFonts w:eastAsia="Calibri"/>
        </w:rPr>
        <w:tab/>
      </w:r>
      <w:r w:rsidRPr="00FF4737">
        <w:rPr>
          <w:rFonts w:eastAsia="Calibri"/>
        </w:rPr>
        <w:tab/>
        <w:t xml:space="preserve">Report of the Special Rapporteur on the promotion of truth, justice, reparation and guarantees of </w:t>
      </w:r>
      <w:r w:rsidR="006E0AF4" w:rsidRPr="00FF4737">
        <w:rPr>
          <w:rFonts w:eastAsia="Calibri"/>
        </w:rPr>
        <w:t xml:space="preserve">non-recurrence </w:t>
      </w:r>
      <w:r w:rsidR="006E0AF4" w:rsidRPr="00FF4737">
        <w:rPr>
          <w:rFonts w:eastAsia="Arial Unicode MS" w:hAnsi="Arial Unicode MS"/>
          <w:color w:val="000000"/>
          <w:u w:color="000000"/>
        </w:rPr>
        <w:t xml:space="preserve">on his mission to </w:t>
      </w:r>
      <w:r w:rsidR="00DE1398" w:rsidRPr="00FF4737">
        <w:rPr>
          <w:rFonts w:eastAsia="Arial Unicode MS" w:hAnsi="Arial Unicode MS"/>
          <w:color w:val="000000"/>
          <w:u w:color="000000"/>
        </w:rPr>
        <w:t xml:space="preserve">the </w:t>
      </w:r>
      <w:r w:rsidR="006E0AF4" w:rsidRPr="00FF4737">
        <w:rPr>
          <w:rFonts w:eastAsia="Calibri"/>
        </w:rPr>
        <w:t>United Kingdom of Great Britain and Northern Ireland</w:t>
      </w:r>
    </w:p>
    <w:p w:rsidR="006E0AF4" w:rsidRPr="00FF4737" w:rsidRDefault="006E0AF4" w:rsidP="006E0AF4">
      <w:pPr>
        <w:keepNext/>
        <w:keepLines/>
        <w:tabs>
          <w:tab w:val="right" w:pos="851"/>
        </w:tabs>
        <w:spacing w:before="360" w:after="240" w:line="300" w:lineRule="exact"/>
        <w:ind w:left="1134" w:right="1134" w:hanging="1134"/>
        <w:outlineLvl w:val="0"/>
        <w:rPr>
          <w:rFonts w:eastAsia="Arial Unicode MS" w:hAnsi="Arial Unicode MS"/>
          <w:b/>
          <w:color w:val="000000"/>
          <w:u w:color="000000"/>
        </w:rPr>
      </w:pPr>
      <w:r w:rsidRPr="00FF4737">
        <w:rPr>
          <w:rFonts w:eastAsia="Arial Unicode MS" w:hAnsi="Arial Unicode MS"/>
          <w:b/>
          <w:color w:val="000000"/>
          <w:sz w:val="28"/>
          <w:u w:color="000000"/>
        </w:rPr>
        <w:tab/>
      </w:r>
      <w:r w:rsidRPr="00FF4737">
        <w:rPr>
          <w:rFonts w:eastAsia="Arial Unicode MS" w:hAnsi="Arial Unicode MS"/>
          <w:b/>
          <w:color w:val="000000"/>
          <w:sz w:val="28"/>
          <w:u w:color="000000"/>
        </w:rPr>
        <w:tab/>
      </w:r>
      <w:r w:rsidRPr="00FF4737">
        <w:rPr>
          <w:b/>
        </w:rPr>
        <w:t>Note by the Secretariat</w:t>
      </w:r>
      <w:bookmarkStart w:id="0" w:name="_GoBack"/>
      <w:bookmarkEnd w:id="0"/>
    </w:p>
    <w:p w:rsidR="00FF4737" w:rsidRPr="00356AA1" w:rsidRDefault="00DE1398">
      <w:pPr>
        <w:pStyle w:val="SingleTxtG"/>
        <w:ind w:firstLine="567"/>
        <w:rPr>
          <w:sz w:val="20"/>
        </w:rPr>
      </w:pPr>
      <w:r w:rsidRPr="00356AA1">
        <w:rPr>
          <w:sz w:val="20"/>
        </w:rPr>
        <w:t xml:space="preserve">The Secretariat has the honour to transmit to the Human Rights Council the report of the Special Rapporteur on the promotion of truth, justice, reparation and guarantees of non-recurrence on his mission to the United Kingdom of Great Britain and Northern Ireland from 9 to 18 November 2015. </w:t>
      </w:r>
    </w:p>
    <w:p w:rsidR="00FF4737" w:rsidRPr="00356AA1" w:rsidRDefault="006E0AF4">
      <w:pPr>
        <w:pStyle w:val="SingleTxtG"/>
        <w:ind w:firstLine="567"/>
        <w:rPr>
          <w:sz w:val="20"/>
        </w:rPr>
      </w:pPr>
      <w:r w:rsidRPr="00356AA1">
        <w:rPr>
          <w:sz w:val="20"/>
        </w:rPr>
        <w:t>Since the adoption of the Good Friday</w:t>
      </w:r>
      <w:r w:rsidR="005C70A1">
        <w:rPr>
          <w:sz w:val="20"/>
        </w:rPr>
        <w:t xml:space="preserve"> (or </w:t>
      </w:r>
      <w:r w:rsidRPr="00356AA1">
        <w:rPr>
          <w:sz w:val="20"/>
        </w:rPr>
        <w:t>Belfast</w:t>
      </w:r>
      <w:r w:rsidR="005C70A1">
        <w:rPr>
          <w:sz w:val="20"/>
        </w:rPr>
        <w:t>)</w:t>
      </w:r>
      <w:r w:rsidRPr="00356AA1">
        <w:rPr>
          <w:sz w:val="20"/>
        </w:rPr>
        <w:t xml:space="preserve"> Agreement in 1998, the </w:t>
      </w:r>
      <w:r w:rsidR="00BE1F94" w:rsidRPr="00356AA1">
        <w:rPr>
          <w:sz w:val="20"/>
        </w:rPr>
        <w:t>United Kingdom of Great Britain and Northern Ireland has taken</w:t>
      </w:r>
      <w:r w:rsidRPr="00356AA1">
        <w:rPr>
          <w:sz w:val="20"/>
        </w:rPr>
        <w:t xml:space="preserve"> important measures to </w:t>
      </w:r>
      <w:r w:rsidR="00BE1F94" w:rsidRPr="00356AA1">
        <w:rPr>
          <w:sz w:val="20"/>
        </w:rPr>
        <w:t xml:space="preserve">address </w:t>
      </w:r>
      <w:r w:rsidRPr="00356AA1">
        <w:rPr>
          <w:sz w:val="20"/>
        </w:rPr>
        <w:t xml:space="preserve">the legacies of the human rights violations and abuses committed during the </w:t>
      </w:r>
      <w:r w:rsidR="00BE1F94" w:rsidRPr="00356AA1">
        <w:rPr>
          <w:sz w:val="20"/>
        </w:rPr>
        <w:t>“</w:t>
      </w:r>
      <w:r w:rsidRPr="00356AA1">
        <w:rPr>
          <w:sz w:val="20"/>
        </w:rPr>
        <w:t>Troubles</w:t>
      </w:r>
      <w:r w:rsidR="00BE1F94" w:rsidRPr="00356AA1">
        <w:rPr>
          <w:sz w:val="20"/>
        </w:rPr>
        <w:t>”</w:t>
      </w:r>
      <w:r w:rsidRPr="00356AA1">
        <w:rPr>
          <w:sz w:val="20"/>
        </w:rPr>
        <w:t xml:space="preserve"> (1968-1998), 30 years of mainly politically motivated violence. While at the social level there is awareness of the fact that not dealing with the past </w:t>
      </w:r>
      <w:r w:rsidR="00BE1F94" w:rsidRPr="00356AA1">
        <w:rPr>
          <w:sz w:val="20"/>
        </w:rPr>
        <w:t xml:space="preserve">may </w:t>
      </w:r>
      <w:r w:rsidRPr="00356AA1">
        <w:rPr>
          <w:sz w:val="20"/>
        </w:rPr>
        <w:t>impose huge burdens of many kinds, no consensus has been reached on how to do it.</w:t>
      </w:r>
    </w:p>
    <w:p w:rsidR="00FF4737" w:rsidRPr="00356AA1" w:rsidRDefault="00DE1398">
      <w:pPr>
        <w:pStyle w:val="SingleTxtG"/>
        <w:ind w:firstLine="567"/>
        <w:rPr>
          <w:rFonts w:eastAsia="Calibri"/>
          <w:sz w:val="20"/>
        </w:rPr>
      </w:pPr>
      <w:r w:rsidRPr="00356AA1">
        <w:rPr>
          <w:sz w:val="20"/>
        </w:rPr>
        <w:t>In the present report, t</w:t>
      </w:r>
      <w:r w:rsidR="006E0AF4" w:rsidRPr="00356AA1">
        <w:rPr>
          <w:sz w:val="20"/>
        </w:rPr>
        <w:t xml:space="preserve">he Special Rapporteur highlights </w:t>
      </w:r>
      <w:r w:rsidRPr="00356AA1">
        <w:rPr>
          <w:sz w:val="20"/>
        </w:rPr>
        <w:t xml:space="preserve">the </w:t>
      </w:r>
      <w:r w:rsidR="006E0AF4" w:rsidRPr="00356AA1">
        <w:rPr>
          <w:sz w:val="20"/>
        </w:rPr>
        <w:t xml:space="preserve">important achievements </w:t>
      </w:r>
      <w:r w:rsidRPr="00356AA1">
        <w:rPr>
          <w:sz w:val="20"/>
        </w:rPr>
        <w:t xml:space="preserve">made </w:t>
      </w:r>
      <w:r w:rsidR="006E0AF4" w:rsidRPr="00356AA1">
        <w:rPr>
          <w:sz w:val="20"/>
        </w:rPr>
        <w:t xml:space="preserve">in </w:t>
      </w:r>
      <w:r w:rsidRPr="00356AA1">
        <w:rPr>
          <w:sz w:val="20"/>
        </w:rPr>
        <w:t>the areas of</w:t>
      </w:r>
      <w:r w:rsidR="006E0AF4" w:rsidRPr="00356AA1">
        <w:rPr>
          <w:sz w:val="20"/>
        </w:rPr>
        <w:t xml:space="preserve"> guarantees of non-recurrence, especially on </w:t>
      </w:r>
      <w:r w:rsidR="00BE1F94" w:rsidRPr="00356AA1">
        <w:rPr>
          <w:sz w:val="20"/>
        </w:rPr>
        <w:t>p</w:t>
      </w:r>
      <w:r w:rsidR="006E0AF4" w:rsidRPr="00356AA1">
        <w:rPr>
          <w:sz w:val="20"/>
        </w:rPr>
        <w:t xml:space="preserve">olice reform. </w:t>
      </w:r>
      <w:r w:rsidRPr="00356AA1">
        <w:rPr>
          <w:sz w:val="20"/>
        </w:rPr>
        <w:t xml:space="preserve">With regard </w:t>
      </w:r>
      <w:r w:rsidR="006E0AF4" w:rsidRPr="00356AA1">
        <w:rPr>
          <w:sz w:val="20"/>
        </w:rPr>
        <w:t xml:space="preserve">to truth-seeking initiatives, reparations programmes and the criminal justice system, </w:t>
      </w:r>
      <w:r w:rsidR="00FA0200">
        <w:rPr>
          <w:sz w:val="20"/>
        </w:rPr>
        <w:t>he</w:t>
      </w:r>
      <w:r w:rsidR="006E0AF4" w:rsidRPr="00356AA1">
        <w:rPr>
          <w:sz w:val="20"/>
        </w:rPr>
        <w:t xml:space="preserve"> analyses the multiplicity of initiatives undertaken and </w:t>
      </w:r>
      <w:r w:rsidR="0024119D" w:rsidRPr="00356AA1">
        <w:rPr>
          <w:sz w:val="20"/>
        </w:rPr>
        <w:t>the</w:t>
      </w:r>
      <w:r w:rsidR="006E0AF4" w:rsidRPr="00356AA1">
        <w:rPr>
          <w:sz w:val="20"/>
        </w:rPr>
        <w:t xml:space="preserve"> remaining challenges. He notes that most of the efforts have been </w:t>
      </w:r>
      <w:r w:rsidR="0024119D" w:rsidRPr="00356AA1">
        <w:rPr>
          <w:sz w:val="20"/>
        </w:rPr>
        <w:t>“</w:t>
      </w:r>
      <w:r w:rsidR="006E0AF4" w:rsidRPr="00356AA1">
        <w:rPr>
          <w:sz w:val="20"/>
        </w:rPr>
        <w:t>event-based</w:t>
      </w:r>
      <w:r w:rsidR="0024119D" w:rsidRPr="00356AA1">
        <w:rPr>
          <w:sz w:val="20"/>
        </w:rPr>
        <w:t>”</w:t>
      </w:r>
      <w:r w:rsidR="006E0AF4" w:rsidRPr="00356AA1">
        <w:rPr>
          <w:sz w:val="20"/>
        </w:rPr>
        <w:t xml:space="preserve"> and have not allowed the patterns, policies and structural dimensions of violations and abuses</w:t>
      </w:r>
      <w:r w:rsidR="0024119D" w:rsidRPr="00356AA1">
        <w:rPr>
          <w:sz w:val="20"/>
        </w:rPr>
        <w:t xml:space="preserve"> to be addressed</w:t>
      </w:r>
      <w:r w:rsidR="006E0AF4" w:rsidRPr="00356AA1">
        <w:rPr>
          <w:sz w:val="20"/>
        </w:rPr>
        <w:t xml:space="preserve">. The cases of death have </w:t>
      </w:r>
      <w:r w:rsidR="002453DC">
        <w:rPr>
          <w:sz w:val="20"/>
        </w:rPr>
        <w:t xml:space="preserve">been the focus </w:t>
      </w:r>
      <w:r w:rsidR="006E0AF4" w:rsidRPr="00356AA1">
        <w:rPr>
          <w:sz w:val="20"/>
        </w:rPr>
        <w:t xml:space="preserve">of these measures, excluding most victims of torture, sexual abuse and illegal detention, and have generally lacked a gender perspective. The Special Rapporteur </w:t>
      </w:r>
      <w:r w:rsidR="0024119D" w:rsidRPr="00356AA1">
        <w:rPr>
          <w:sz w:val="20"/>
        </w:rPr>
        <w:t xml:space="preserve">makes </w:t>
      </w:r>
      <w:r w:rsidR="006E0AF4" w:rsidRPr="00356AA1">
        <w:rPr>
          <w:sz w:val="20"/>
        </w:rPr>
        <w:t xml:space="preserve">recommendations </w:t>
      </w:r>
      <w:r w:rsidR="0024119D" w:rsidRPr="00356AA1">
        <w:rPr>
          <w:sz w:val="20"/>
        </w:rPr>
        <w:t xml:space="preserve">on </w:t>
      </w:r>
      <w:r w:rsidR="006E0AF4" w:rsidRPr="00356AA1">
        <w:rPr>
          <w:sz w:val="20"/>
        </w:rPr>
        <w:t xml:space="preserve">the way forward </w:t>
      </w:r>
      <w:r w:rsidR="0024119D" w:rsidRPr="00356AA1">
        <w:rPr>
          <w:sz w:val="20"/>
        </w:rPr>
        <w:t>in</w:t>
      </w:r>
      <w:r w:rsidR="006E0AF4" w:rsidRPr="00356AA1">
        <w:rPr>
          <w:sz w:val="20"/>
        </w:rPr>
        <w:t xml:space="preserve"> the implementation of the Stormont</w:t>
      </w:r>
      <w:r w:rsidR="006E0AF4" w:rsidRPr="00356AA1">
        <w:rPr>
          <w:sz w:val="20"/>
          <w:lang w:eastAsia="en-GB"/>
        </w:rPr>
        <w:t xml:space="preserve"> Agreement</w:t>
      </w:r>
      <w:r w:rsidR="00084771">
        <w:rPr>
          <w:sz w:val="20"/>
          <w:lang w:eastAsia="en-GB"/>
        </w:rPr>
        <w:t xml:space="preserve"> and on ways to </w:t>
      </w:r>
      <w:r w:rsidR="006E0AF4" w:rsidRPr="00356AA1">
        <w:rPr>
          <w:sz w:val="20"/>
          <w:lang w:eastAsia="en-GB"/>
        </w:rPr>
        <w:t>address remaining challenges.</w:t>
      </w:r>
    </w:p>
    <w:p w:rsidR="00C34C45" w:rsidRPr="00FF4737" w:rsidRDefault="00B86975" w:rsidP="00BE1DCE">
      <w:pPr>
        <w:pStyle w:val="HChG"/>
        <w:rPr>
          <w:szCs w:val="28"/>
          <w:vertAlign w:val="superscript"/>
        </w:rPr>
      </w:pPr>
      <w:r w:rsidRPr="00FF4737">
        <w:rPr>
          <w:rFonts w:eastAsia="Calibri"/>
        </w:rPr>
        <w:br w:type="page"/>
      </w:r>
      <w:r w:rsidR="00C34C45" w:rsidRPr="00FF4737">
        <w:rPr>
          <w:rFonts w:eastAsia="Calibri"/>
        </w:rPr>
        <w:lastRenderedPageBreak/>
        <w:tab/>
      </w:r>
      <w:r w:rsidR="00C34C45" w:rsidRPr="00FF4737">
        <w:rPr>
          <w:rFonts w:eastAsia="Calibri"/>
        </w:rPr>
        <w:tab/>
      </w:r>
      <w:r w:rsidR="00BE1DCE" w:rsidRPr="00FF4737">
        <w:rPr>
          <w:rFonts w:eastAsia="Calibri"/>
        </w:rPr>
        <w:t xml:space="preserve">Report of the Special Rapporteur on the promotion of truth, justice, reparation and guarantees of non-recurrence, </w:t>
      </w:r>
      <w:r w:rsidR="00BE1DCE" w:rsidRPr="00FF4737">
        <w:rPr>
          <w:rFonts w:eastAsia="Arial Unicode MS"/>
        </w:rPr>
        <w:t xml:space="preserve">on his mission to </w:t>
      </w:r>
      <w:r w:rsidR="0062220A" w:rsidRPr="00FF4737">
        <w:rPr>
          <w:rFonts w:eastAsia="Arial Unicode MS"/>
        </w:rPr>
        <w:t xml:space="preserve">the </w:t>
      </w:r>
      <w:r w:rsidR="00BE1DCE" w:rsidRPr="00FF4737">
        <w:rPr>
          <w:rFonts w:eastAsia="Calibri"/>
        </w:rPr>
        <w:t>United Kingdom of Great Britain and Northern Ireland</w:t>
      </w:r>
      <w:r w:rsidR="00CC2F54" w:rsidRPr="00356AA1">
        <w:rPr>
          <w:b w:val="0"/>
          <w:sz w:val="18"/>
          <w:szCs w:val="18"/>
          <w:vertAlign w:val="superscript"/>
        </w:rPr>
        <w:footnoteReference w:customMarkFollows="1" w:id="2"/>
        <w:t>*</w:t>
      </w:r>
    </w:p>
    <w:p w:rsidR="00BE1DCE" w:rsidRPr="00356AA1" w:rsidRDefault="00BE1DCE" w:rsidP="00BE1DCE">
      <w:pPr>
        <w:spacing w:after="120"/>
        <w:rPr>
          <w:sz w:val="28"/>
          <w:lang w:val="fr-FR"/>
        </w:rPr>
      </w:pPr>
      <w:r w:rsidRPr="00356AA1">
        <w:rPr>
          <w:sz w:val="28"/>
          <w:lang w:val="fr-FR"/>
        </w:rPr>
        <w:t>Contents</w:t>
      </w:r>
    </w:p>
    <w:p w:rsidR="00BE1DCE" w:rsidRPr="00356AA1" w:rsidRDefault="00BE1DCE" w:rsidP="00BE1DCE">
      <w:pPr>
        <w:tabs>
          <w:tab w:val="right" w:pos="8929"/>
          <w:tab w:val="right" w:pos="9638"/>
        </w:tabs>
        <w:spacing w:after="120"/>
        <w:ind w:left="283"/>
        <w:rPr>
          <w:lang w:val="fr-FR"/>
        </w:rPr>
      </w:pPr>
      <w:r w:rsidRPr="00356AA1">
        <w:rPr>
          <w:i/>
          <w:sz w:val="18"/>
          <w:lang w:val="fr-FR"/>
        </w:rPr>
        <w:tab/>
      </w:r>
      <w:r w:rsidRPr="00356AA1">
        <w:rPr>
          <w:i/>
          <w:sz w:val="18"/>
          <w:lang w:val="fr-FR"/>
        </w:rPr>
        <w:tab/>
        <w:t>Page</w:t>
      </w:r>
    </w:p>
    <w:p w:rsidR="00C34C45" w:rsidRPr="00FB79DF" w:rsidRDefault="00C34C45" w:rsidP="00BE1DCE">
      <w:pPr>
        <w:tabs>
          <w:tab w:val="left" w:pos="-1560"/>
          <w:tab w:val="right" w:pos="850"/>
          <w:tab w:val="left" w:pos="1134"/>
          <w:tab w:val="left" w:pos="1559"/>
          <w:tab w:val="left" w:leader="dot" w:pos="8929"/>
          <w:tab w:val="right" w:pos="9638"/>
        </w:tabs>
        <w:spacing w:after="120"/>
        <w:rPr>
          <w:sz w:val="20"/>
          <w:lang w:val="fr-CH"/>
        </w:rPr>
      </w:pPr>
      <w:r w:rsidRPr="00356AA1">
        <w:rPr>
          <w:lang w:val="fr-FR"/>
        </w:rPr>
        <w:tab/>
      </w:r>
      <w:r w:rsidRPr="00FB79DF">
        <w:rPr>
          <w:sz w:val="20"/>
          <w:lang w:val="fr-CH"/>
        </w:rPr>
        <w:t>I.</w:t>
      </w:r>
      <w:r w:rsidRPr="00FB79DF">
        <w:rPr>
          <w:sz w:val="20"/>
          <w:lang w:val="fr-CH"/>
        </w:rPr>
        <w:tab/>
        <w:t>Introduction</w:t>
      </w:r>
      <w:r w:rsidRPr="00FB79DF">
        <w:rPr>
          <w:sz w:val="20"/>
          <w:lang w:val="fr-CH"/>
        </w:rPr>
        <w:tab/>
      </w:r>
      <w:r w:rsidRPr="00FB79DF">
        <w:rPr>
          <w:sz w:val="20"/>
          <w:lang w:val="fr-CH"/>
        </w:rPr>
        <w:tab/>
      </w:r>
      <w:r w:rsidR="00403AE5" w:rsidRPr="00FB79DF">
        <w:rPr>
          <w:sz w:val="20"/>
          <w:lang w:val="fr-CH"/>
        </w:rPr>
        <w:t>3</w:t>
      </w:r>
    </w:p>
    <w:p w:rsidR="00C34C45" w:rsidRPr="00FB79DF" w:rsidRDefault="00C34C45" w:rsidP="00BE1DCE">
      <w:pPr>
        <w:tabs>
          <w:tab w:val="left" w:pos="-1560"/>
          <w:tab w:val="right" w:pos="850"/>
          <w:tab w:val="left" w:pos="1134"/>
          <w:tab w:val="left" w:pos="1559"/>
          <w:tab w:val="left" w:leader="dot" w:pos="8929"/>
          <w:tab w:val="right" w:pos="9638"/>
        </w:tabs>
        <w:spacing w:after="120"/>
        <w:rPr>
          <w:sz w:val="20"/>
          <w:lang w:val="fr-CH"/>
        </w:rPr>
      </w:pPr>
      <w:r w:rsidRPr="00FB79DF">
        <w:rPr>
          <w:sz w:val="20"/>
          <w:lang w:val="fr-CH"/>
        </w:rPr>
        <w:tab/>
        <w:t>II.</w:t>
      </w:r>
      <w:r w:rsidRPr="00FB79DF">
        <w:rPr>
          <w:sz w:val="20"/>
          <w:lang w:val="fr-CH"/>
        </w:rPr>
        <w:tab/>
      </w:r>
      <w:proofErr w:type="spellStart"/>
      <w:r w:rsidRPr="00FB79DF">
        <w:rPr>
          <w:sz w:val="20"/>
          <w:lang w:val="fr-CH"/>
        </w:rPr>
        <w:t>Context</w:t>
      </w:r>
      <w:proofErr w:type="spellEnd"/>
      <w:r w:rsidR="00BE1DCE" w:rsidRPr="00FB79DF">
        <w:rPr>
          <w:sz w:val="20"/>
          <w:lang w:val="fr-CH"/>
        </w:rPr>
        <w:tab/>
      </w:r>
      <w:r w:rsidR="00BE1DCE" w:rsidRPr="00FB79DF">
        <w:rPr>
          <w:sz w:val="20"/>
          <w:lang w:val="fr-CH"/>
        </w:rPr>
        <w:tab/>
      </w:r>
      <w:r w:rsidR="00403AE5" w:rsidRPr="00FB79DF">
        <w:rPr>
          <w:sz w:val="20"/>
          <w:lang w:val="fr-CH"/>
        </w:rPr>
        <w:t>3</w:t>
      </w:r>
    </w:p>
    <w:p w:rsidR="00C34C45" w:rsidRPr="00716894" w:rsidRDefault="00C34C45" w:rsidP="00BE1DCE">
      <w:pPr>
        <w:tabs>
          <w:tab w:val="left" w:pos="-1560"/>
          <w:tab w:val="right" w:pos="850"/>
          <w:tab w:val="left" w:pos="1134"/>
          <w:tab w:val="left" w:pos="1559"/>
          <w:tab w:val="left" w:leader="dot" w:pos="8929"/>
          <w:tab w:val="right" w:pos="9638"/>
        </w:tabs>
        <w:spacing w:after="120"/>
        <w:rPr>
          <w:sz w:val="20"/>
        </w:rPr>
      </w:pPr>
      <w:r w:rsidRPr="00FB79DF">
        <w:rPr>
          <w:sz w:val="20"/>
          <w:lang w:val="fr-CH"/>
        </w:rPr>
        <w:tab/>
      </w:r>
      <w:r w:rsidR="00CC2F54" w:rsidRPr="00716894">
        <w:rPr>
          <w:sz w:val="20"/>
        </w:rPr>
        <w:t>III.</w:t>
      </w:r>
      <w:r w:rsidR="00CC2F54" w:rsidRPr="00716894">
        <w:rPr>
          <w:sz w:val="20"/>
        </w:rPr>
        <w:tab/>
        <w:t>General Considerations</w:t>
      </w:r>
      <w:r w:rsidR="00CC2F54" w:rsidRPr="00716894">
        <w:rPr>
          <w:sz w:val="20"/>
        </w:rPr>
        <w:tab/>
      </w:r>
      <w:r w:rsidR="00CC2F54" w:rsidRPr="00716894">
        <w:rPr>
          <w:sz w:val="20"/>
        </w:rPr>
        <w:tab/>
      </w:r>
      <w:r w:rsidR="00403AE5">
        <w:rPr>
          <w:sz w:val="20"/>
        </w:rPr>
        <w:t>5</w:t>
      </w:r>
    </w:p>
    <w:p w:rsidR="00BB74F6" w:rsidRPr="00716894" w:rsidRDefault="00CC2F54" w:rsidP="00BE1DCE">
      <w:pPr>
        <w:tabs>
          <w:tab w:val="left" w:pos="-1560"/>
          <w:tab w:val="right" w:pos="850"/>
          <w:tab w:val="left" w:pos="1134"/>
          <w:tab w:val="left" w:pos="1559"/>
          <w:tab w:val="left" w:leader="dot" w:pos="8929"/>
          <w:tab w:val="right" w:pos="9638"/>
        </w:tabs>
        <w:spacing w:after="120"/>
        <w:rPr>
          <w:sz w:val="20"/>
        </w:rPr>
      </w:pPr>
      <w:r w:rsidRPr="00716894">
        <w:rPr>
          <w:sz w:val="20"/>
        </w:rPr>
        <w:tab/>
        <w:t>IV.</w:t>
      </w:r>
      <w:r w:rsidRPr="00716894">
        <w:rPr>
          <w:sz w:val="20"/>
        </w:rPr>
        <w:tab/>
        <w:t>Truth</w:t>
      </w:r>
      <w:r w:rsidRPr="00716894">
        <w:rPr>
          <w:sz w:val="20"/>
        </w:rPr>
        <w:tab/>
      </w:r>
      <w:r w:rsidR="00403AE5">
        <w:rPr>
          <w:sz w:val="20"/>
        </w:rPr>
        <w:tab/>
        <w:t>6</w:t>
      </w:r>
    </w:p>
    <w:p w:rsidR="00BB74F6" w:rsidRPr="00716894" w:rsidRDefault="00716894" w:rsidP="00716894">
      <w:pPr>
        <w:tabs>
          <w:tab w:val="left" w:pos="-1560"/>
          <w:tab w:val="right" w:pos="850"/>
          <w:tab w:val="left" w:pos="1134"/>
          <w:tab w:val="left" w:pos="1559"/>
          <w:tab w:val="left" w:leader="dot" w:pos="8929"/>
          <w:tab w:val="right" w:pos="9638"/>
        </w:tabs>
        <w:spacing w:after="120"/>
        <w:ind w:left="1560" w:hanging="420"/>
        <w:rPr>
          <w:sz w:val="20"/>
        </w:rPr>
      </w:pPr>
      <w:r w:rsidRPr="00716894">
        <w:rPr>
          <w:sz w:val="20"/>
        </w:rPr>
        <w:t>A.</w:t>
      </w:r>
      <w:r w:rsidRPr="00716894">
        <w:rPr>
          <w:sz w:val="20"/>
        </w:rPr>
        <w:tab/>
      </w:r>
      <w:r w:rsidR="00BB74F6" w:rsidRPr="00716894">
        <w:rPr>
          <w:sz w:val="20"/>
          <w:szCs w:val="20"/>
        </w:rPr>
        <w:t>Main existing mechanisms</w:t>
      </w:r>
      <w:r w:rsidR="00CC2F54" w:rsidRPr="00716894">
        <w:rPr>
          <w:sz w:val="20"/>
        </w:rPr>
        <w:tab/>
      </w:r>
      <w:r w:rsidR="00403AE5">
        <w:rPr>
          <w:sz w:val="20"/>
        </w:rPr>
        <w:tab/>
        <w:t>6</w:t>
      </w:r>
    </w:p>
    <w:p w:rsidR="00C34C45" w:rsidRPr="00716894" w:rsidRDefault="00716894" w:rsidP="00716894">
      <w:pPr>
        <w:tabs>
          <w:tab w:val="left" w:pos="-1560"/>
          <w:tab w:val="right" w:pos="850"/>
          <w:tab w:val="left" w:pos="1134"/>
          <w:tab w:val="left" w:pos="1559"/>
          <w:tab w:val="left" w:leader="dot" w:pos="8929"/>
          <w:tab w:val="right" w:pos="9638"/>
        </w:tabs>
        <w:spacing w:after="120"/>
        <w:ind w:left="1560" w:hanging="420"/>
        <w:rPr>
          <w:sz w:val="20"/>
        </w:rPr>
      </w:pPr>
      <w:r w:rsidRPr="00716894">
        <w:rPr>
          <w:sz w:val="20"/>
        </w:rPr>
        <w:t>B.</w:t>
      </w:r>
      <w:r w:rsidRPr="00716894">
        <w:rPr>
          <w:sz w:val="20"/>
        </w:rPr>
        <w:tab/>
      </w:r>
      <w:r w:rsidR="00BB74F6" w:rsidRPr="00716894">
        <w:rPr>
          <w:sz w:val="20"/>
          <w:szCs w:val="20"/>
          <w:lang w:eastAsia="en-GB"/>
        </w:rPr>
        <w:t>Challenges to truth-seeking mechanisms</w:t>
      </w:r>
      <w:r w:rsidR="00BB74F6" w:rsidRPr="00716894">
        <w:rPr>
          <w:sz w:val="20"/>
        </w:rPr>
        <w:t xml:space="preserve"> </w:t>
      </w:r>
      <w:r w:rsidR="00BB74F6" w:rsidRPr="00716894">
        <w:rPr>
          <w:sz w:val="20"/>
        </w:rPr>
        <w:tab/>
      </w:r>
      <w:r w:rsidR="00403AE5">
        <w:rPr>
          <w:sz w:val="20"/>
        </w:rPr>
        <w:tab/>
        <w:t>9</w:t>
      </w:r>
    </w:p>
    <w:p w:rsidR="00C34C45" w:rsidRPr="00716894" w:rsidRDefault="00CC2F54" w:rsidP="00BE1DCE">
      <w:pPr>
        <w:tabs>
          <w:tab w:val="left" w:pos="-1560"/>
          <w:tab w:val="right" w:pos="850"/>
          <w:tab w:val="left" w:pos="1134"/>
          <w:tab w:val="left" w:pos="1559"/>
          <w:tab w:val="left" w:leader="dot" w:pos="8929"/>
          <w:tab w:val="right" w:pos="9638"/>
        </w:tabs>
        <w:spacing w:after="120"/>
        <w:rPr>
          <w:sz w:val="20"/>
        </w:rPr>
      </w:pPr>
      <w:r w:rsidRPr="00716894">
        <w:rPr>
          <w:sz w:val="20"/>
        </w:rPr>
        <w:tab/>
        <w:t>V</w:t>
      </w:r>
      <w:r w:rsidR="00BB74F6" w:rsidRPr="00716894">
        <w:rPr>
          <w:sz w:val="20"/>
        </w:rPr>
        <w:t>.</w:t>
      </w:r>
      <w:r w:rsidRPr="00716894">
        <w:rPr>
          <w:sz w:val="20"/>
        </w:rPr>
        <w:tab/>
        <w:t>Criminal justice initiatives</w:t>
      </w:r>
      <w:r w:rsidRPr="00716894">
        <w:rPr>
          <w:sz w:val="20"/>
        </w:rPr>
        <w:tab/>
      </w:r>
      <w:r w:rsidRPr="00716894">
        <w:rPr>
          <w:sz w:val="20"/>
        </w:rPr>
        <w:tab/>
      </w:r>
      <w:r w:rsidR="00403AE5">
        <w:rPr>
          <w:sz w:val="20"/>
        </w:rPr>
        <w:t>10</w:t>
      </w:r>
    </w:p>
    <w:p w:rsidR="00C34C45" w:rsidRPr="00716894" w:rsidRDefault="00CC2F54" w:rsidP="00BE1DCE">
      <w:pPr>
        <w:tabs>
          <w:tab w:val="left" w:pos="-1560"/>
          <w:tab w:val="right" w:pos="850"/>
          <w:tab w:val="left" w:pos="1134"/>
          <w:tab w:val="left" w:pos="1559"/>
          <w:tab w:val="left" w:leader="dot" w:pos="8929"/>
          <w:tab w:val="right" w:pos="9638"/>
        </w:tabs>
        <w:spacing w:after="120"/>
        <w:rPr>
          <w:sz w:val="20"/>
        </w:rPr>
      </w:pPr>
      <w:r w:rsidRPr="00716894">
        <w:rPr>
          <w:sz w:val="20"/>
        </w:rPr>
        <w:tab/>
        <w:t>VI.</w:t>
      </w:r>
      <w:r w:rsidRPr="00716894">
        <w:rPr>
          <w:sz w:val="20"/>
        </w:rPr>
        <w:tab/>
        <w:t>Reparations</w:t>
      </w:r>
      <w:r w:rsidRPr="00716894">
        <w:rPr>
          <w:sz w:val="20"/>
        </w:rPr>
        <w:tab/>
      </w:r>
      <w:r w:rsidRPr="00716894">
        <w:rPr>
          <w:sz w:val="20"/>
        </w:rPr>
        <w:tab/>
      </w:r>
      <w:r w:rsidR="00403AE5">
        <w:rPr>
          <w:sz w:val="20"/>
        </w:rPr>
        <w:t>13</w:t>
      </w:r>
    </w:p>
    <w:p w:rsidR="00BB74F6" w:rsidRPr="00716894" w:rsidRDefault="00CC2F54" w:rsidP="00BE1DCE">
      <w:pPr>
        <w:tabs>
          <w:tab w:val="left" w:pos="-1560"/>
          <w:tab w:val="right" w:pos="850"/>
          <w:tab w:val="left" w:pos="1134"/>
          <w:tab w:val="left" w:pos="1559"/>
          <w:tab w:val="left" w:leader="dot" w:pos="8929"/>
          <w:tab w:val="right" w:pos="9638"/>
        </w:tabs>
        <w:spacing w:after="120"/>
        <w:rPr>
          <w:sz w:val="20"/>
        </w:rPr>
      </w:pPr>
      <w:r w:rsidRPr="00716894">
        <w:rPr>
          <w:sz w:val="20"/>
        </w:rPr>
        <w:tab/>
        <w:t>VII.</w:t>
      </w:r>
      <w:r w:rsidRPr="00716894">
        <w:rPr>
          <w:sz w:val="20"/>
        </w:rPr>
        <w:tab/>
        <w:t>Guarantees of non-recurrence</w:t>
      </w:r>
      <w:r w:rsidRPr="00716894">
        <w:rPr>
          <w:sz w:val="20"/>
        </w:rPr>
        <w:tab/>
      </w:r>
      <w:r w:rsidR="00403AE5">
        <w:rPr>
          <w:sz w:val="20"/>
        </w:rPr>
        <w:tab/>
        <w:t>16</w:t>
      </w:r>
    </w:p>
    <w:p w:rsidR="00BB74F6" w:rsidRPr="00716894" w:rsidRDefault="00716894" w:rsidP="00716894">
      <w:pPr>
        <w:tabs>
          <w:tab w:val="left" w:pos="-1560"/>
          <w:tab w:val="right" w:pos="850"/>
          <w:tab w:val="left" w:pos="1134"/>
          <w:tab w:val="left" w:pos="1559"/>
          <w:tab w:val="left" w:leader="dot" w:pos="8929"/>
          <w:tab w:val="right" w:pos="9638"/>
        </w:tabs>
        <w:spacing w:after="120"/>
        <w:ind w:left="1560" w:hanging="420"/>
        <w:rPr>
          <w:sz w:val="20"/>
          <w:szCs w:val="20"/>
        </w:rPr>
      </w:pPr>
      <w:r w:rsidRPr="00716894">
        <w:rPr>
          <w:sz w:val="20"/>
          <w:szCs w:val="20"/>
        </w:rPr>
        <w:t>A.</w:t>
      </w:r>
      <w:r w:rsidRPr="00716894">
        <w:rPr>
          <w:sz w:val="20"/>
          <w:szCs w:val="20"/>
        </w:rPr>
        <w:tab/>
      </w:r>
      <w:r w:rsidR="00BB74F6" w:rsidRPr="00716894">
        <w:rPr>
          <w:sz w:val="20"/>
          <w:szCs w:val="20"/>
          <w:lang w:eastAsia="en-GB"/>
        </w:rPr>
        <w:t>An enabling context</w:t>
      </w:r>
      <w:r w:rsidR="00CC2F54" w:rsidRPr="00716894">
        <w:rPr>
          <w:sz w:val="20"/>
          <w:szCs w:val="20"/>
        </w:rPr>
        <w:tab/>
      </w:r>
      <w:r w:rsidR="00403AE5">
        <w:rPr>
          <w:sz w:val="20"/>
          <w:szCs w:val="20"/>
        </w:rPr>
        <w:tab/>
        <w:t>16</w:t>
      </w:r>
    </w:p>
    <w:p w:rsidR="00BB74F6" w:rsidRPr="00716894" w:rsidRDefault="00716894" w:rsidP="00716894">
      <w:pPr>
        <w:tabs>
          <w:tab w:val="left" w:pos="-1560"/>
          <w:tab w:val="right" w:pos="850"/>
          <w:tab w:val="left" w:pos="1134"/>
          <w:tab w:val="left" w:pos="1559"/>
          <w:tab w:val="left" w:leader="dot" w:pos="8929"/>
          <w:tab w:val="right" w:pos="9638"/>
        </w:tabs>
        <w:spacing w:after="120"/>
        <w:ind w:left="1560" w:hanging="420"/>
        <w:rPr>
          <w:sz w:val="20"/>
          <w:szCs w:val="20"/>
        </w:rPr>
      </w:pPr>
      <w:r w:rsidRPr="00716894">
        <w:rPr>
          <w:sz w:val="20"/>
          <w:szCs w:val="20"/>
        </w:rPr>
        <w:t>B.</w:t>
      </w:r>
      <w:r w:rsidRPr="00716894">
        <w:rPr>
          <w:sz w:val="20"/>
          <w:szCs w:val="20"/>
        </w:rPr>
        <w:tab/>
      </w:r>
      <w:r w:rsidR="00BB74F6" w:rsidRPr="00716894">
        <w:rPr>
          <w:sz w:val="20"/>
          <w:szCs w:val="20"/>
          <w:lang w:eastAsia="en-GB"/>
        </w:rPr>
        <w:t>Institutional reforms</w:t>
      </w:r>
      <w:r w:rsidR="00BB74F6" w:rsidRPr="00716894">
        <w:rPr>
          <w:sz w:val="20"/>
          <w:szCs w:val="20"/>
        </w:rPr>
        <w:t xml:space="preserve"> </w:t>
      </w:r>
      <w:r w:rsidR="00BB74F6" w:rsidRPr="00716894">
        <w:rPr>
          <w:sz w:val="20"/>
          <w:szCs w:val="20"/>
        </w:rPr>
        <w:tab/>
      </w:r>
      <w:r w:rsidR="00403AE5">
        <w:rPr>
          <w:sz w:val="20"/>
          <w:szCs w:val="20"/>
        </w:rPr>
        <w:tab/>
        <w:t>17</w:t>
      </w:r>
    </w:p>
    <w:p w:rsidR="00BB74F6" w:rsidRPr="00716894" w:rsidRDefault="00716894" w:rsidP="00716894">
      <w:pPr>
        <w:tabs>
          <w:tab w:val="left" w:pos="-1560"/>
          <w:tab w:val="right" w:pos="850"/>
          <w:tab w:val="left" w:pos="1134"/>
          <w:tab w:val="left" w:pos="1559"/>
          <w:tab w:val="left" w:leader="dot" w:pos="8929"/>
          <w:tab w:val="right" w:pos="9638"/>
        </w:tabs>
        <w:spacing w:after="120"/>
        <w:ind w:left="1560" w:hanging="420"/>
        <w:rPr>
          <w:sz w:val="20"/>
          <w:szCs w:val="20"/>
        </w:rPr>
      </w:pPr>
      <w:r>
        <w:rPr>
          <w:sz w:val="20"/>
          <w:szCs w:val="20"/>
        </w:rPr>
        <w:t>C.</w:t>
      </w:r>
      <w:r>
        <w:rPr>
          <w:sz w:val="20"/>
          <w:szCs w:val="20"/>
        </w:rPr>
        <w:tab/>
      </w:r>
      <w:r w:rsidR="00BB74F6" w:rsidRPr="00716894">
        <w:rPr>
          <w:sz w:val="20"/>
          <w:szCs w:val="20"/>
        </w:rPr>
        <w:tab/>
        <w:t>Release and integration of paramilitary prisoners</w:t>
      </w:r>
      <w:r w:rsidR="00BB74F6" w:rsidRPr="00716894">
        <w:rPr>
          <w:sz w:val="20"/>
          <w:szCs w:val="20"/>
        </w:rPr>
        <w:tab/>
      </w:r>
      <w:r w:rsidR="00403AE5">
        <w:rPr>
          <w:sz w:val="20"/>
          <w:szCs w:val="20"/>
        </w:rPr>
        <w:tab/>
        <w:t>18</w:t>
      </w:r>
    </w:p>
    <w:p w:rsidR="00BB74F6" w:rsidRPr="00716894" w:rsidRDefault="00716894" w:rsidP="00716894">
      <w:pPr>
        <w:tabs>
          <w:tab w:val="left" w:pos="-1560"/>
          <w:tab w:val="right" w:pos="850"/>
          <w:tab w:val="left" w:pos="1134"/>
          <w:tab w:val="left" w:pos="1559"/>
          <w:tab w:val="left" w:leader="dot" w:pos="8929"/>
          <w:tab w:val="right" w:pos="9638"/>
        </w:tabs>
        <w:spacing w:after="120"/>
        <w:ind w:left="1560" w:hanging="420"/>
        <w:rPr>
          <w:sz w:val="20"/>
          <w:szCs w:val="20"/>
        </w:rPr>
      </w:pPr>
      <w:r>
        <w:rPr>
          <w:sz w:val="20"/>
          <w:szCs w:val="20"/>
        </w:rPr>
        <w:t>D.</w:t>
      </w:r>
      <w:r>
        <w:rPr>
          <w:sz w:val="20"/>
          <w:szCs w:val="20"/>
        </w:rPr>
        <w:tab/>
      </w:r>
      <w:r w:rsidR="00BB74F6" w:rsidRPr="00716894">
        <w:rPr>
          <w:sz w:val="20"/>
          <w:szCs w:val="20"/>
        </w:rPr>
        <w:t>Bill of rights</w:t>
      </w:r>
      <w:r w:rsidR="00BB74F6" w:rsidRPr="00716894">
        <w:rPr>
          <w:sz w:val="20"/>
          <w:szCs w:val="20"/>
        </w:rPr>
        <w:tab/>
      </w:r>
      <w:r w:rsidR="00403AE5">
        <w:rPr>
          <w:sz w:val="20"/>
          <w:szCs w:val="20"/>
        </w:rPr>
        <w:tab/>
        <w:t>19</w:t>
      </w:r>
    </w:p>
    <w:p w:rsidR="00BB74F6" w:rsidRPr="00716894" w:rsidRDefault="00716894" w:rsidP="00716894">
      <w:pPr>
        <w:tabs>
          <w:tab w:val="left" w:pos="-1560"/>
          <w:tab w:val="right" w:pos="850"/>
          <w:tab w:val="left" w:pos="1134"/>
          <w:tab w:val="left" w:pos="1559"/>
          <w:tab w:val="left" w:leader="dot" w:pos="8929"/>
          <w:tab w:val="right" w:pos="9638"/>
        </w:tabs>
        <w:spacing w:after="120"/>
        <w:ind w:left="1560" w:hanging="420"/>
        <w:rPr>
          <w:sz w:val="20"/>
          <w:szCs w:val="20"/>
        </w:rPr>
      </w:pPr>
      <w:r>
        <w:rPr>
          <w:sz w:val="20"/>
          <w:szCs w:val="20"/>
        </w:rPr>
        <w:t>E.</w:t>
      </w:r>
      <w:r>
        <w:rPr>
          <w:sz w:val="20"/>
          <w:szCs w:val="20"/>
        </w:rPr>
        <w:tab/>
      </w:r>
      <w:r w:rsidR="00BB74F6" w:rsidRPr="00716894">
        <w:rPr>
          <w:sz w:val="20"/>
          <w:szCs w:val="20"/>
        </w:rPr>
        <w:t>Interventions in the cultural sphere</w:t>
      </w:r>
      <w:r w:rsidR="00BB74F6" w:rsidRPr="00716894">
        <w:rPr>
          <w:sz w:val="20"/>
          <w:szCs w:val="20"/>
        </w:rPr>
        <w:tab/>
      </w:r>
      <w:r w:rsidR="00403AE5">
        <w:rPr>
          <w:sz w:val="20"/>
          <w:szCs w:val="20"/>
        </w:rPr>
        <w:tab/>
        <w:t>19</w:t>
      </w:r>
    </w:p>
    <w:p w:rsidR="00C34C45" w:rsidRPr="00716894" w:rsidRDefault="00716894" w:rsidP="00716894">
      <w:pPr>
        <w:tabs>
          <w:tab w:val="left" w:pos="-1560"/>
          <w:tab w:val="right" w:pos="850"/>
          <w:tab w:val="left" w:pos="1134"/>
          <w:tab w:val="left" w:pos="1559"/>
          <w:tab w:val="left" w:leader="dot" w:pos="8929"/>
          <w:tab w:val="right" w:pos="9638"/>
        </w:tabs>
        <w:spacing w:after="120"/>
        <w:ind w:left="1560" w:hanging="420"/>
        <w:rPr>
          <w:sz w:val="20"/>
          <w:szCs w:val="20"/>
          <w:lang w:val="fr-CH"/>
        </w:rPr>
      </w:pPr>
      <w:r w:rsidRPr="00716894">
        <w:rPr>
          <w:sz w:val="20"/>
          <w:szCs w:val="20"/>
          <w:lang w:val="fr-CH"/>
        </w:rPr>
        <w:t>F.</w:t>
      </w:r>
      <w:r w:rsidRPr="00716894">
        <w:rPr>
          <w:sz w:val="20"/>
          <w:szCs w:val="20"/>
          <w:lang w:val="fr-CH"/>
        </w:rPr>
        <w:tab/>
      </w:r>
      <w:proofErr w:type="spellStart"/>
      <w:r w:rsidR="00BB74F6" w:rsidRPr="00716894">
        <w:rPr>
          <w:sz w:val="20"/>
          <w:szCs w:val="20"/>
          <w:lang w:val="fr-CH" w:eastAsia="en-GB"/>
        </w:rPr>
        <w:t>Societal</w:t>
      </w:r>
      <w:proofErr w:type="spellEnd"/>
      <w:r w:rsidR="00BB74F6" w:rsidRPr="00716894">
        <w:rPr>
          <w:sz w:val="20"/>
          <w:szCs w:val="20"/>
          <w:lang w:val="fr-CH" w:eastAsia="en-GB"/>
        </w:rPr>
        <w:t xml:space="preserve"> interventions</w:t>
      </w:r>
      <w:r w:rsidR="00BB74F6" w:rsidRPr="00716894">
        <w:rPr>
          <w:sz w:val="20"/>
          <w:szCs w:val="20"/>
          <w:lang w:val="fr-CH" w:eastAsia="en-GB"/>
        </w:rPr>
        <w:tab/>
      </w:r>
      <w:r w:rsidR="00403AE5">
        <w:rPr>
          <w:sz w:val="20"/>
          <w:szCs w:val="20"/>
          <w:lang w:val="fr-CH"/>
        </w:rPr>
        <w:tab/>
        <w:t>19</w:t>
      </w:r>
    </w:p>
    <w:p w:rsidR="00C34C45" w:rsidRPr="00716894" w:rsidRDefault="00CC2F54" w:rsidP="00BE1DCE">
      <w:pPr>
        <w:tabs>
          <w:tab w:val="left" w:pos="-1560"/>
          <w:tab w:val="right" w:pos="850"/>
          <w:tab w:val="left" w:pos="1134"/>
          <w:tab w:val="left" w:pos="1559"/>
          <w:tab w:val="left" w:leader="dot" w:pos="8929"/>
          <w:tab w:val="right" w:pos="9638"/>
        </w:tabs>
        <w:spacing w:after="120"/>
        <w:rPr>
          <w:sz w:val="20"/>
          <w:lang w:val="fr-CH"/>
        </w:rPr>
      </w:pPr>
      <w:r w:rsidRPr="00716894">
        <w:rPr>
          <w:sz w:val="20"/>
          <w:lang w:val="fr-CH"/>
        </w:rPr>
        <w:tab/>
        <w:t>VIII.</w:t>
      </w:r>
      <w:r w:rsidRPr="00716894">
        <w:rPr>
          <w:sz w:val="20"/>
          <w:lang w:val="fr-CH"/>
        </w:rPr>
        <w:tab/>
      </w:r>
      <w:r w:rsidR="00BB74F6" w:rsidRPr="00716894">
        <w:rPr>
          <w:sz w:val="20"/>
          <w:lang w:val="fr-CH"/>
        </w:rPr>
        <w:t>Conclusions</w:t>
      </w:r>
      <w:r w:rsidRPr="00716894">
        <w:rPr>
          <w:sz w:val="20"/>
          <w:lang w:val="fr-CH"/>
        </w:rPr>
        <w:tab/>
      </w:r>
      <w:r w:rsidRPr="00716894">
        <w:rPr>
          <w:sz w:val="20"/>
          <w:lang w:val="fr-CH"/>
        </w:rPr>
        <w:tab/>
      </w:r>
      <w:r w:rsidR="00403AE5">
        <w:rPr>
          <w:sz w:val="20"/>
          <w:lang w:val="fr-CH"/>
        </w:rPr>
        <w:t>20</w:t>
      </w:r>
    </w:p>
    <w:p w:rsidR="00C34C45" w:rsidRPr="00FB79DF" w:rsidRDefault="00CC2F54" w:rsidP="00BE1DCE">
      <w:pPr>
        <w:tabs>
          <w:tab w:val="left" w:pos="-1560"/>
          <w:tab w:val="right" w:pos="850"/>
          <w:tab w:val="left" w:pos="1134"/>
          <w:tab w:val="left" w:pos="1559"/>
          <w:tab w:val="left" w:leader="dot" w:pos="8929"/>
          <w:tab w:val="right" w:pos="9638"/>
        </w:tabs>
        <w:spacing w:after="120"/>
        <w:rPr>
          <w:sz w:val="20"/>
        </w:rPr>
      </w:pPr>
      <w:r w:rsidRPr="00716894">
        <w:rPr>
          <w:sz w:val="20"/>
          <w:lang w:val="fr-CH"/>
        </w:rPr>
        <w:tab/>
      </w:r>
      <w:r w:rsidRPr="00FB79DF">
        <w:rPr>
          <w:sz w:val="20"/>
        </w:rPr>
        <w:t>IX.</w:t>
      </w:r>
      <w:r w:rsidRPr="00FB79DF">
        <w:rPr>
          <w:sz w:val="20"/>
        </w:rPr>
        <w:tab/>
        <w:t>Recommendations</w:t>
      </w:r>
      <w:r w:rsidRPr="00FB79DF">
        <w:rPr>
          <w:sz w:val="20"/>
        </w:rPr>
        <w:tab/>
      </w:r>
      <w:r w:rsidRPr="00FB79DF">
        <w:rPr>
          <w:sz w:val="20"/>
        </w:rPr>
        <w:tab/>
      </w:r>
      <w:r w:rsidR="00403AE5" w:rsidRPr="00FB79DF">
        <w:rPr>
          <w:sz w:val="20"/>
        </w:rPr>
        <w:t>21</w:t>
      </w:r>
    </w:p>
    <w:p w:rsidR="00C34C45" w:rsidRPr="00FB79DF" w:rsidRDefault="00C34C45" w:rsidP="00C34C45">
      <w:pPr>
        <w:suppressAutoHyphens w:val="0"/>
        <w:spacing w:line="240" w:lineRule="auto"/>
      </w:pPr>
      <w:r w:rsidRPr="00FB79DF">
        <w:br w:type="page"/>
      </w:r>
    </w:p>
    <w:p w:rsidR="00B86975" w:rsidRPr="00FB79DF" w:rsidRDefault="00C020AB" w:rsidP="00C020AB">
      <w:pPr>
        <w:pStyle w:val="HChG"/>
      </w:pPr>
      <w:r w:rsidRPr="00FB79DF">
        <w:lastRenderedPageBreak/>
        <w:tab/>
        <w:t>I.</w:t>
      </w:r>
      <w:r w:rsidRPr="00FB79DF">
        <w:tab/>
        <w:t>Introduction</w:t>
      </w:r>
    </w:p>
    <w:p w:rsidR="00FF4737" w:rsidRPr="00356AA1" w:rsidRDefault="00C020AB">
      <w:pPr>
        <w:pStyle w:val="SingleTxtG"/>
        <w:rPr>
          <w:sz w:val="20"/>
        </w:rPr>
      </w:pPr>
      <w:r w:rsidRPr="00356AA1">
        <w:rPr>
          <w:sz w:val="20"/>
        </w:rPr>
        <w:t>1.</w:t>
      </w:r>
      <w:r w:rsidRPr="00356AA1">
        <w:rPr>
          <w:sz w:val="20"/>
        </w:rPr>
        <w:tab/>
        <w:t xml:space="preserve">Pursuant to Human Rights Council resolution 27/3, the Special Rapporteur on the promotion of truth, justice, reparation and guarantees of non-recurrence, Pablo de </w:t>
      </w:r>
      <w:proofErr w:type="spellStart"/>
      <w:r w:rsidRPr="00356AA1">
        <w:rPr>
          <w:sz w:val="20"/>
        </w:rPr>
        <w:t>Greiff</w:t>
      </w:r>
      <w:proofErr w:type="spellEnd"/>
      <w:r w:rsidRPr="00356AA1">
        <w:rPr>
          <w:sz w:val="20"/>
        </w:rPr>
        <w:t>, visited the United Kingdom of Great Britain and Northern Ireland from 9</w:t>
      </w:r>
      <w:r w:rsidR="0024119D" w:rsidRPr="00356AA1">
        <w:rPr>
          <w:sz w:val="20"/>
        </w:rPr>
        <w:t xml:space="preserve"> to </w:t>
      </w:r>
      <w:r w:rsidRPr="00356AA1">
        <w:rPr>
          <w:sz w:val="20"/>
        </w:rPr>
        <w:t>18 November 2015 at the invitation of the Government. He visited Belfast again from 16</w:t>
      </w:r>
      <w:r w:rsidR="0024119D" w:rsidRPr="00356AA1">
        <w:rPr>
          <w:sz w:val="20"/>
        </w:rPr>
        <w:t xml:space="preserve"> to </w:t>
      </w:r>
      <w:r w:rsidRPr="00356AA1">
        <w:rPr>
          <w:sz w:val="20"/>
        </w:rPr>
        <w:t xml:space="preserve">18 May 2016. </w:t>
      </w:r>
    </w:p>
    <w:p w:rsidR="00FF4737" w:rsidRPr="00356AA1" w:rsidRDefault="00C020AB">
      <w:pPr>
        <w:pStyle w:val="SingleTxtG"/>
        <w:rPr>
          <w:sz w:val="20"/>
        </w:rPr>
      </w:pPr>
      <w:r w:rsidRPr="00356AA1">
        <w:rPr>
          <w:sz w:val="20"/>
        </w:rPr>
        <w:t>2.</w:t>
      </w:r>
      <w:r w:rsidRPr="00356AA1">
        <w:rPr>
          <w:sz w:val="20"/>
        </w:rPr>
        <w:tab/>
        <w:t xml:space="preserve">The purpose of the </w:t>
      </w:r>
      <w:r w:rsidR="0024119D" w:rsidRPr="00356AA1">
        <w:rPr>
          <w:sz w:val="20"/>
        </w:rPr>
        <w:t xml:space="preserve">mission </w:t>
      </w:r>
      <w:r w:rsidRPr="00356AA1">
        <w:rPr>
          <w:sz w:val="20"/>
        </w:rPr>
        <w:t xml:space="preserve">was to assess the work undertaken by the Government, at both </w:t>
      </w:r>
      <w:r w:rsidR="0024119D" w:rsidRPr="00356AA1">
        <w:rPr>
          <w:sz w:val="20"/>
        </w:rPr>
        <w:t xml:space="preserve">the </w:t>
      </w:r>
      <w:r w:rsidRPr="00356AA1">
        <w:rPr>
          <w:sz w:val="20"/>
        </w:rPr>
        <w:t>national and devolved levels, in the areas of truth, justice, reparation and guarantees of non-recurrence</w:t>
      </w:r>
      <w:r w:rsidR="0024119D" w:rsidRPr="00356AA1">
        <w:rPr>
          <w:sz w:val="20"/>
        </w:rPr>
        <w:t>,</w:t>
      </w:r>
      <w:r w:rsidRPr="00356AA1">
        <w:rPr>
          <w:sz w:val="20"/>
        </w:rPr>
        <w:t xml:space="preserve"> and to advise on further efforts to address the legacy </w:t>
      </w:r>
      <w:r w:rsidR="0024119D" w:rsidRPr="00356AA1">
        <w:rPr>
          <w:sz w:val="20"/>
        </w:rPr>
        <w:t xml:space="preserve">of </w:t>
      </w:r>
      <w:r w:rsidRPr="00356AA1">
        <w:rPr>
          <w:sz w:val="20"/>
        </w:rPr>
        <w:t xml:space="preserve">the violence </w:t>
      </w:r>
      <w:r w:rsidR="0024119D" w:rsidRPr="00356AA1">
        <w:rPr>
          <w:sz w:val="20"/>
        </w:rPr>
        <w:t xml:space="preserve">committed </w:t>
      </w:r>
      <w:r w:rsidRPr="00356AA1">
        <w:rPr>
          <w:sz w:val="20"/>
        </w:rPr>
        <w:t>in Northern Ireland between 1968 and 1998</w:t>
      </w:r>
      <w:r w:rsidR="0024119D" w:rsidRPr="00356AA1">
        <w:rPr>
          <w:sz w:val="20"/>
        </w:rPr>
        <w:t>, during the “Troubles”</w:t>
      </w:r>
      <w:r w:rsidRPr="00356AA1">
        <w:rPr>
          <w:sz w:val="20"/>
        </w:rPr>
        <w:t xml:space="preserve">. </w:t>
      </w:r>
    </w:p>
    <w:p w:rsidR="00FF4737" w:rsidRPr="00356AA1" w:rsidRDefault="00C020AB">
      <w:pPr>
        <w:pStyle w:val="SingleTxtG"/>
        <w:rPr>
          <w:sz w:val="20"/>
        </w:rPr>
      </w:pPr>
      <w:r w:rsidRPr="00356AA1">
        <w:rPr>
          <w:sz w:val="20"/>
        </w:rPr>
        <w:t>3.</w:t>
      </w:r>
      <w:r w:rsidRPr="00356AA1">
        <w:rPr>
          <w:sz w:val="20"/>
        </w:rPr>
        <w:tab/>
        <w:t>During his first visit, the Special Rapporteur met with representatives of the Foreign and Commonwealth Office</w:t>
      </w:r>
      <w:r w:rsidR="0023199B" w:rsidRPr="00356AA1">
        <w:rPr>
          <w:sz w:val="20"/>
        </w:rPr>
        <w:t>,</w:t>
      </w:r>
      <w:r w:rsidRPr="00356AA1">
        <w:rPr>
          <w:sz w:val="20"/>
        </w:rPr>
        <w:t xml:space="preserve"> the Ministry of Justice, including the Minister for Human Rights</w:t>
      </w:r>
      <w:r w:rsidR="0023199B" w:rsidRPr="00356AA1">
        <w:rPr>
          <w:sz w:val="20"/>
        </w:rPr>
        <w:t>,</w:t>
      </w:r>
      <w:r w:rsidRPr="00356AA1">
        <w:rPr>
          <w:sz w:val="20"/>
        </w:rPr>
        <w:t xml:space="preserve"> and the Ministry of Defence. He also held discussions with the Shadow Secretary of State for Northern Ireland, the </w:t>
      </w:r>
      <w:r w:rsidR="0023199B" w:rsidRPr="00356AA1">
        <w:rPr>
          <w:sz w:val="20"/>
        </w:rPr>
        <w:t xml:space="preserve">Northern Ireland </w:t>
      </w:r>
      <w:r w:rsidRPr="00356AA1">
        <w:rPr>
          <w:sz w:val="20"/>
        </w:rPr>
        <w:t xml:space="preserve">Office, the Independent Complaints Reviewer, </w:t>
      </w:r>
      <w:proofErr w:type="gramStart"/>
      <w:r w:rsidRPr="00356AA1">
        <w:rPr>
          <w:sz w:val="20"/>
        </w:rPr>
        <w:t>the</w:t>
      </w:r>
      <w:proofErr w:type="gramEnd"/>
      <w:r w:rsidRPr="00356AA1">
        <w:rPr>
          <w:sz w:val="20"/>
        </w:rPr>
        <w:t xml:space="preserve"> Joint Committee for Human Rights and the </w:t>
      </w:r>
      <w:r w:rsidR="0023199B" w:rsidRPr="00356AA1">
        <w:rPr>
          <w:sz w:val="20"/>
        </w:rPr>
        <w:t xml:space="preserve">Northern Ireland </w:t>
      </w:r>
      <w:r w:rsidRPr="00356AA1">
        <w:rPr>
          <w:sz w:val="20"/>
        </w:rPr>
        <w:t xml:space="preserve">Affairs Committee of the House of Commons. Furthermore, he held meetings with the President and Justices of the Supreme Court and members of the Equality and Human Rights Commission and the Department for International Development. In Belfast, meetings were held with representatives of the Office of the First Minister and of the Deputy First Minister, including the deputy First Minister; the Minister of the Department of Justice; and representatives of the Department of Culture, Arts and Leisure, including the Public Record Office of Northern Ireland, and the Departments of Education and Social Development. </w:t>
      </w:r>
      <w:r w:rsidR="00A217A5" w:rsidRPr="00356AA1">
        <w:rPr>
          <w:sz w:val="20"/>
        </w:rPr>
        <w:t xml:space="preserve">The Special Rapporteur </w:t>
      </w:r>
      <w:r w:rsidRPr="00356AA1">
        <w:rPr>
          <w:sz w:val="20"/>
        </w:rPr>
        <w:t xml:space="preserve">met with the Lord Chief Justice, the Attorney General, </w:t>
      </w:r>
      <w:r w:rsidR="00A217A5" w:rsidRPr="00356AA1">
        <w:rPr>
          <w:sz w:val="20"/>
        </w:rPr>
        <w:t xml:space="preserve">representatives of </w:t>
      </w:r>
      <w:r w:rsidRPr="00356AA1">
        <w:rPr>
          <w:sz w:val="20"/>
        </w:rPr>
        <w:t>the Public Prosecutions Service</w:t>
      </w:r>
      <w:r w:rsidR="00A217A5" w:rsidRPr="00356AA1">
        <w:rPr>
          <w:sz w:val="20"/>
        </w:rPr>
        <w:t xml:space="preserve"> and</w:t>
      </w:r>
      <w:r w:rsidRPr="00356AA1">
        <w:rPr>
          <w:sz w:val="20"/>
        </w:rPr>
        <w:t xml:space="preserve"> the Departmental Solicitor’s Office, and the Chief Constable of the Police Service of Northern Ireland.</w:t>
      </w:r>
      <w:r w:rsidR="00781044">
        <w:rPr>
          <w:sz w:val="20"/>
        </w:rPr>
        <w:t xml:space="preserve"> </w:t>
      </w:r>
      <w:r w:rsidR="00A217A5" w:rsidRPr="00356AA1">
        <w:rPr>
          <w:sz w:val="20"/>
        </w:rPr>
        <w:t xml:space="preserve">He also held </w:t>
      </w:r>
      <w:r w:rsidRPr="00356AA1">
        <w:rPr>
          <w:sz w:val="20"/>
        </w:rPr>
        <w:t xml:space="preserve">meetings with the Policing Board, the Police Ombudsman, the Ombudsman of Northern Ireland, the Northern Ireland Equality Commission, </w:t>
      </w:r>
      <w:proofErr w:type="gramStart"/>
      <w:r w:rsidRPr="00356AA1">
        <w:rPr>
          <w:sz w:val="20"/>
        </w:rPr>
        <w:t>the</w:t>
      </w:r>
      <w:proofErr w:type="gramEnd"/>
      <w:r w:rsidRPr="00356AA1">
        <w:rPr>
          <w:sz w:val="20"/>
        </w:rPr>
        <w:t xml:space="preserve"> Human Rights Commission, the Commissioner for Victims and Survivors and the Victims and Survivors Forum, and the Independent Commission for the Location of Victims’ Remains. In London and </w:t>
      </w:r>
      <w:r w:rsidR="00A217A5" w:rsidRPr="00356AA1">
        <w:rPr>
          <w:sz w:val="20"/>
        </w:rPr>
        <w:t>in Northern Ireland, in the c</w:t>
      </w:r>
      <w:r w:rsidRPr="00356AA1">
        <w:rPr>
          <w:sz w:val="20"/>
        </w:rPr>
        <w:t xml:space="preserve">ounties of Armagh, Fermanagh, Tyrone and Londonderry, </w:t>
      </w:r>
      <w:r w:rsidR="00A217A5" w:rsidRPr="00356AA1">
        <w:rPr>
          <w:sz w:val="20"/>
        </w:rPr>
        <w:t>t</w:t>
      </w:r>
      <w:r w:rsidRPr="00356AA1">
        <w:rPr>
          <w:sz w:val="20"/>
        </w:rPr>
        <w:t xml:space="preserve">he </w:t>
      </w:r>
      <w:r w:rsidR="00A217A5" w:rsidRPr="00356AA1">
        <w:rPr>
          <w:sz w:val="20"/>
        </w:rPr>
        <w:t xml:space="preserve">Special Rapporteur </w:t>
      </w:r>
      <w:r w:rsidRPr="00356AA1">
        <w:rPr>
          <w:sz w:val="20"/>
        </w:rPr>
        <w:t xml:space="preserve">met with religious leaders, professional groups, civil society groups, including victims and their families, former prisoners, members of academia and other individuals who have contributed to initiatives to </w:t>
      </w:r>
      <w:r w:rsidR="00A217A5" w:rsidRPr="00356AA1">
        <w:rPr>
          <w:sz w:val="20"/>
        </w:rPr>
        <w:t>address</w:t>
      </w:r>
      <w:r w:rsidRPr="00356AA1">
        <w:rPr>
          <w:sz w:val="20"/>
        </w:rPr>
        <w:t xml:space="preserve"> the past.</w:t>
      </w:r>
    </w:p>
    <w:p w:rsidR="00FF4737" w:rsidRPr="00356AA1" w:rsidRDefault="00C020AB">
      <w:pPr>
        <w:pStyle w:val="SingleTxtG"/>
        <w:rPr>
          <w:sz w:val="20"/>
        </w:rPr>
      </w:pPr>
      <w:r w:rsidRPr="00356AA1">
        <w:rPr>
          <w:sz w:val="20"/>
        </w:rPr>
        <w:t>4.</w:t>
      </w:r>
      <w:r w:rsidRPr="00356AA1">
        <w:rPr>
          <w:sz w:val="20"/>
        </w:rPr>
        <w:tab/>
        <w:t>During his second visit to Belfast, the Special Rapporteur met with</w:t>
      </w:r>
      <w:r w:rsidR="00A217A5" w:rsidRPr="00356AA1">
        <w:rPr>
          <w:sz w:val="20"/>
        </w:rPr>
        <w:t>, inter alia,</w:t>
      </w:r>
      <w:r w:rsidRPr="00356AA1">
        <w:rPr>
          <w:sz w:val="20"/>
        </w:rPr>
        <w:t xml:space="preserve"> the Parliamentary Under</w:t>
      </w:r>
      <w:r w:rsidR="00A217A5" w:rsidRPr="00356AA1">
        <w:rPr>
          <w:sz w:val="20"/>
        </w:rPr>
        <w:t>-</w:t>
      </w:r>
      <w:r w:rsidRPr="00356AA1">
        <w:rPr>
          <w:sz w:val="20"/>
        </w:rPr>
        <w:t>Secretary of State for Northern Ireland, the Lord Chief Justice, the Victims Commissioner, the Victims’ Forum, representatives of political parties</w:t>
      </w:r>
      <w:r w:rsidR="00A217A5" w:rsidRPr="00356AA1">
        <w:rPr>
          <w:sz w:val="20"/>
        </w:rPr>
        <w:t xml:space="preserve"> and non-governmental organizations</w:t>
      </w:r>
      <w:r w:rsidRPr="00356AA1">
        <w:rPr>
          <w:sz w:val="20"/>
        </w:rPr>
        <w:t xml:space="preserve">, academics, the </w:t>
      </w:r>
      <w:r w:rsidR="00A217A5" w:rsidRPr="00356AA1">
        <w:rPr>
          <w:sz w:val="20"/>
        </w:rPr>
        <w:t xml:space="preserve">Northern Ireland </w:t>
      </w:r>
      <w:r w:rsidRPr="00356AA1">
        <w:rPr>
          <w:sz w:val="20"/>
        </w:rPr>
        <w:t xml:space="preserve">Human Rights Commission, the Chief Constable and his senior colleagues, the Irish Minister </w:t>
      </w:r>
      <w:r w:rsidR="00A217A5" w:rsidRPr="00356AA1">
        <w:rPr>
          <w:sz w:val="20"/>
        </w:rPr>
        <w:t>for</w:t>
      </w:r>
      <w:r w:rsidRPr="00356AA1">
        <w:rPr>
          <w:sz w:val="20"/>
        </w:rPr>
        <w:t xml:space="preserve"> Foreign Affairs and the Irish Joint Secretary of the British-Irish Council, </w:t>
      </w:r>
      <w:r w:rsidR="00A217A5" w:rsidRPr="00356AA1">
        <w:rPr>
          <w:sz w:val="20"/>
        </w:rPr>
        <w:t xml:space="preserve">and </w:t>
      </w:r>
      <w:r w:rsidRPr="00356AA1">
        <w:rPr>
          <w:sz w:val="20"/>
        </w:rPr>
        <w:t>the Consul General</w:t>
      </w:r>
      <w:r w:rsidR="00A217A5" w:rsidRPr="00356AA1">
        <w:rPr>
          <w:sz w:val="20"/>
        </w:rPr>
        <w:t xml:space="preserve"> of the United States of America</w:t>
      </w:r>
      <w:r w:rsidRPr="00356AA1">
        <w:rPr>
          <w:sz w:val="20"/>
        </w:rPr>
        <w:t>.</w:t>
      </w:r>
    </w:p>
    <w:p w:rsidR="00FF4737" w:rsidRPr="00356AA1" w:rsidRDefault="00C020AB">
      <w:pPr>
        <w:pStyle w:val="SingleTxtG"/>
        <w:rPr>
          <w:sz w:val="20"/>
        </w:rPr>
      </w:pPr>
      <w:r w:rsidRPr="00356AA1">
        <w:rPr>
          <w:sz w:val="20"/>
        </w:rPr>
        <w:t>5.</w:t>
      </w:r>
      <w:r w:rsidRPr="00356AA1">
        <w:rPr>
          <w:sz w:val="20"/>
        </w:rPr>
        <w:tab/>
        <w:t>The Special Rapporteur thanks all those who shared their valuable and important experiences and insights.</w:t>
      </w:r>
    </w:p>
    <w:p w:rsidR="00FF4737" w:rsidRPr="00FF4737" w:rsidRDefault="00C020AB" w:rsidP="00356AA1">
      <w:pPr>
        <w:pStyle w:val="HChG"/>
        <w:spacing w:line="240" w:lineRule="atLeast"/>
        <w:rPr>
          <w:lang w:eastAsia="en-GB"/>
        </w:rPr>
      </w:pPr>
      <w:r w:rsidRPr="00FF4737">
        <w:rPr>
          <w:lang w:eastAsia="en-GB"/>
        </w:rPr>
        <w:tab/>
        <w:t>II.</w:t>
      </w:r>
      <w:r w:rsidRPr="00FF4737">
        <w:rPr>
          <w:lang w:eastAsia="en-GB"/>
        </w:rPr>
        <w:tab/>
        <w:t>Context</w:t>
      </w:r>
    </w:p>
    <w:p w:rsidR="00FF4737" w:rsidRPr="00356AA1" w:rsidRDefault="00E17B11">
      <w:pPr>
        <w:pStyle w:val="SingleTxtG"/>
        <w:rPr>
          <w:sz w:val="20"/>
        </w:rPr>
      </w:pPr>
      <w:r w:rsidRPr="00356AA1">
        <w:rPr>
          <w:sz w:val="20"/>
        </w:rPr>
        <w:t>6.</w:t>
      </w:r>
      <w:r w:rsidRPr="00356AA1">
        <w:rPr>
          <w:sz w:val="20"/>
        </w:rPr>
        <w:tab/>
        <w:t>Following some 30 years of mainly politically motivated violence</w:t>
      </w:r>
      <w:r w:rsidR="00731C53" w:rsidRPr="00356AA1">
        <w:rPr>
          <w:sz w:val="20"/>
        </w:rPr>
        <w:t xml:space="preserve">, commonly known as the </w:t>
      </w:r>
      <w:r w:rsidRPr="00356AA1">
        <w:rPr>
          <w:sz w:val="20"/>
        </w:rPr>
        <w:t xml:space="preserve">Troubles, </w:t>
      </w:r>
      <w:r w:rsidR="00731C53" w:rsidRPr="00356AA1">
        <w:rPr>
          <w:sz w:val="20"/>
        </w:rPr>
        <w:t xml:space="preserve">between </w:t>
      </w:r>
      <w:r w:rsidRPr="00356AA1">
        <w:rPr>
          <w:sz w:val="20"/>
        </w:rPr>
        <w:t>1968</w:t>
      </w:r>
      <w:r w:rsidR="00731C53" w:rsidRPr="00356AA1">
        <w:rPr>
          <w:sz w:val="20"/>
        </w:rPr>
        <w:t xml:space="preserve"> and </w:t>
      </w:r>
      <w:r w:rsidRPr="00356AA1">
        <w:rPr>
          <w:sz w:val="20"/>
        </w:rPr>
        <w:t xml:space="preserve">1998, </w:t>
      </w:r>
      <w:r w:rsidR="00731C53" w:rsidRPr="00356AA1">
        <w:rPr>
          <w:sz w:val="20"/>
        </w:rPr>
        <w:t xml:space="preserve">which </w:t>
      </w:r>
      <w:r w:rsidRPr="00356AA1">
        <w:rPr>
          <w:sz w:val="20"/>
        </w:rPr>
        <w:t>claim</w:t>
      </w:r>
      <w:r w:rsidR="00731C53" w:rsidRPr="00356AA1">
        <w:rPr>
          <w:sz w:val="20"/>
        </w:rPr>
        <w:t>ed</w:t>
      </w:r>
      <w:r w:rsidRPr="00356AA1">
        <w:rPr>
          <w:sz w:val="20"/>
        </w:rPr>
        <w:t xml:space="preserve"> between 3,260 and 3,600 lives and </w:t>
      </w:r>
      <w:r w:rsidR="00731C53" w:rsidRPr="00356AA1">
        <w:rPr>
          <w:sz w:val="20"/>
        </w:rPr>
        <w:t xml:space="preserve">led to the </w:t>
      </w:r>
      <w:r w:rsidRPr="00356AA1">
        <w:rPr>
          <w:sz w:val="20"/>
        </w:rPr>
        <w:t>injur</w:t>
      </w:r>
      <w:r w:rsidR="00731C53" w:rsidRPr="00356AA1">
        <w:rPr>
          <w:sz w:val="20"/>
        </w:rPr>
        <w:t>y</w:t>
      </w:r>
      <w:r w:rsidRPr="00356AA1">
        <w:rPr>
          <w:sz w:val="20"/>
        </w:rPr>
        <w:t xml:space="preserve"> </w:t>
      </w:r>
      <w:r w:rsidR="00731C53" w:rsidRPr="00356AA1">
        <w:rPr>
          <w:sz w:val="20"/>
        </w:rPr>
        <w:t>of more than</w:t>
      </w:r>
      <w:r w:rsidRPr="00356AA1">
        <w:rPr>
          <w:sz w:val="20"/>
        </w:rPr>
        <w:t xml:space="preserve"> 40,000 people, the Good Friday Agreement </w:t>
      </w:r>
      <w:r w:rsidR="00AB2334" w:rsidRPr="00356AA1">
        <w:rPr>
          <w:sz w:val="20"/>
        </w:rPr>
        <w:t xml:space="preserve">(also </w:t>
      </w:r>
      <w:r w:rsidR="002453DC">
        <w:rPr>
          <w:sz w:val="20"/>
        </w:rPr>
        <w:t>known</w:t>
      </w:r>
      <w:r w:rsidR="00AB2334" w:rsidRPr="00356AA1">
        <w:rPr>
          <w:sz w:val="20"/>
        </w:rPr>
        <w:t xml:space="preserve"> the “Belfast Agreement”)</w:t>
      </w:r>
      <w:r w:rsidRPr="00356AA1">
        <w:rPr>
          <w:sz w:val="20"/>
        </w:rPr>
        <w:t xml:space="preserve"> was signed in 1998 as a foundation for peace in </w:t>
      </w:r>
      <w:r w:rsidR="00731C53" w:rsidRPr="00356AA1">
        <w:rPr>
          <w:sz w:val="20"/>
        </w:rPr>
        <w:t>Northern Ireland</w:t>
      </w:r>
      <w:r w:rsidRPr="00356AA1">
        <w:rPr>
          <w:sz w:val="20"/>
        </w:rPr>
        <w:t xml:space="preserve">. During the Troubles, </w:t>
      </w:r>
      <w:r w:rsidR="00EC48A6">
        <w:rPr>
          <w:sz w:val="20"/>
        </w:rPr>
        <w:t xml:space="preserve">between </w:t>
      </w:r>
      <w:r w:rsidRPr="00356AA1">
        <w:rPr>
          <w:sz w:val="20"/>
        </w:rPr>
        <w:t>16,200</w:t>
      </w:r>
      <w:r w:rsidR="00EC48A6">
        <w:rPr>
          <w:sz w:val="20"/>
        </w:rPr>
        <w:t xml:space="preserve"> and </w:t>
      </w:r>
      <w:r w:rsidRPr="00356AA1">
        <w:rPr>
          <w:sz w:val="20"/>
        </w:rPr>
        <w:t xml:space="preserve">37,000 bombings </w:t>
      </w:r>
      <w:r w:rsidR="00731C53" w:rsidRPr="00356AA1">
        <w:rPr>
          <w:sz w:val="20"/>
        </w:rPr>
        <w:t>were perpetrated</w:t>
      </w:r>
      <w:r w:rsidRPr="00356AA1">
        <w:rPr>
          <w:sz w:val="20"/>
        </w:rPr>
        <w:t xml:space="preserve">, </w:t>
      </w:r>
      <w:r w:rsidR="00731C53" w:rsidRPr="00356AA1">
        <w:rPr>
          <w:sz w:val="20"/>
        </w:rPr>
        <w:t xml:space="preserve">and </w:t>
      </w:r>
      <w:r w:rsidRPr="00356AA1">
        <w:rPr>
          <w:sz w:val="20"/>
        </w:rPr>
        <w:lastRenderedPageBreak/>
        <w:t xml:space="preserve">violations and abuses </w:t>
      </w:r>
      <w:r w:rsidR="00731C53" w:rsidRPr="00356AA1">
        <w:rPr>
          <w:sz w:val="20"/>
        </w:rPr>
        <w:t xml:space="preserve">committed </w:t>
      </w:r>
      <w:r w:rsidRPr="00356AA1">
        <w:rPr>
          <w:sz w:val="20"/>
        </w:rPr>
        <w:t xml:space="preserve">by a range of </w:t>
      </w:r>
      <w:r w:rsidR="00731C53" w:rsidRPr="00356AA1">
        <w:rPr>
          <w:sz w:val="20"/>
        </w:rPr>
        <w:t>R</w:t>
      </w:r>
      <w:r w:rsidRPr="00356AA1">
        <w:rPr>
          <w:sz w:val="20"/>
        </w:rPr>
        <w:t xml:space="preserve">epublican armed groups (whose aim was a United Ireland), </w:t>
      </w:r>
      <w:r w:rsidR="00731C53" w:rsidRPr="00356AA1">
        <w:rPr>
          <w:sz w:val="20"/>
        </w:rPr>
        <w:t>L</w:t>
      </w:r>
      <w:r w:rsidRPr="00356AA1">
        <w:rPr>
          <w:sz w:val="20"/>
        </w:rPr>
        <w:t>oyalist armed groups (</w:t>
      </w:r>
      <w:r w:rsidR="00731C53" w:rsidRPr="00356AA1">
        <w:rPr>
          <w:sz w:val="20"/>
        </w:rPr>
        <w:t xml:space="preserve">determined to keep </w:t>
      </w:r>
      <w:r w:rsidR="00A217A5" w:rsidRPr="00356AA1">
        <w:rPr>
          <w:sz w:val="20"/>
        </w:rPr>
        <w:t xml:space="preserve">Northern Ireland </w:t>
      </w:r>
      <w:r w:rsidR="00731C53" w:rsidRPr="00356AA1">
        <w:rPr>
          <w:sz w:val="20"/>
        </w:rPr>
        <w:t>in the United Kingdom</w:t>
      </w:r>
      <w:r w:rsidRPr="00356AA1">
        <w:rPr>
          <w:sz w:val="20"/>
        </w:rPr>
        <w:t xml:space="preserve">), and members of various </w:t>
      </w:r>
      <w:r w:rsidR="00731C53" w:rsidRPr="00356AA1">
        <w:rPr>
          <w:sz w:val="20"/>
        </w:rPr>
        <w:t xml:space="preserve">British </w:t>
      </w:r>
      <w:r w:rsidRPr="00356AA1">
        <w:rPr>
          <w:sz w:val="20"/>
        </w:rPr>
        <w:t xml:space="preserve">security and military forces and the Royal Ulster Constabulary. </w:t>
      </w:r>
      <w:r w:rsidR="00731C53" w:rsidRPr="00356AA1">
        <w:rPr>
          <w:sz w:val="20"/>
        </w:rPr>
        <w:t xml:space="preserve">Most </w:t>
      </w:r>
      <w:r w:rsidRPr="00356AA1">
        <w:rPr>
          <w:sz w:val="20"/>
        </w:rPr>
        <w:t>of the casualties</w:t>
      </w:r>
      <w:r w:rsidR="00731C53" w:rsidRPr="00356AA1">
        <w:rPr>
          <w:sz w:val="20"/>
        </w:rPr>
        <w:t xml:space="preserve"> were</w:t>
      </w:r>
      <w:r w:rsidRPr="00356AA1">
        <w:rPr>
          <w:sz w:val="20"/>
        </w:rPr>
        <w:t xml:space="preserve">, however, neither affiliated with any armed group nor active participants in the conflict. </w:t>
      </w:r>
    </w:p>
    <w:p w:rsidR="00FF4737" w:rsidRPr="00356AA1" w:rsidRDefault="00E17B11">
      <w:pPr>
        <w:pStyle w:val="SingleTxtG"/>
        <w:rPr>
          <w:sz w:val="20"/>
        </w:rPr>
      </w:pPr>
      <w:r w:rsidRPr="00356AA1">
        <w:rPr>
          <w:sz w:val="20"/>
        </w:rPr>
        <w:t>7.</w:t>
      </w:r>
      <w:r w:rsidRPr="00356AA1">
        <w:rPr>
          <w:sz w:val="20"/>
        </w:rPr>
        <w:tab/>
        <w:t xml:space="preserve">While not </w:t>
      </w:r>
      <w:r w:rsidR="00BF3626" w:rsidRPr="00356AA1">
        <w:rPr>
          <w:sz w:val="20"/>
        </w:rPr>
        <w:t xml:space="preserve">actually </w:t>
      </w:r>
      <w:r w:rsidRPr="00356AA1">
        <w:rPr>
          <w:sz w:val="20"/>
        </w:rPr>
        <w:t xml:space="preserve">a </w:t>
      </w:r>
      <w:r w:rsidR="00231A78">
        <w:rPr>
          <w:sz w:val="20"/>
        </w:rPr>
        <w:t>“</w:t>
      </w:r>
      <w:r w:rsidRPr="00356AA1">
        <w:rPr>
          <w:sz w:val="20"/>
        </w:rPr>
        <w:t>conflict</w:t>
      </w:r>
      <w:r w:rsidR="00231A78">
        <w:rPr>
          <w:sz w:val="20"/>
        </w:rPr>
        <w:t>”</w:t>
      </w:r>
      <w:r w:rsidRPr="00356AA1">
        <w:rPr>
          <w:sz w:val="20"/>
        </w:rPr>
        <w:t xml:space="preserve"> </w:t>
      </w:r>
      <w:r w:rsidR="00BF3626" w:rsidRPr="00356AA1">
        <w:rPr>
          <w:sz w:val="20"/>
        </w:rPr>
        <w:t xml:space="preserve">based </w:t>
      </w:r>
      <w:r w:rsidRPr="00356AA1">
        <w:rPr>
          <w:sz w:val="20"/>
        </w:rPr>
        <w:t xml:space="preserve">on religious differences, members of </w:t>
      </w:r>
      <w:r w:rsidR="00BF3626" w:rsidRPr="00356AA1">
        <w:rPr>
          <w:sz w:val="20"/>
        </w:rPr>
        <w:t>R</w:t>
      </w:r>
      <w:r w:rsidRPr="00356AA1">
        <w:rPr>
          <w:sz w:val="20"/>
        </w:rPr>
        <w:t xml:space="preserve">epublican armed groups, </w:t>
      </w:r>
      <w:r w:rsidR="00BF3626" w:rsidRPr="00356AA1">
        <w:rPr>
          <w:sz w:val="20"/>
        </w:rPr>
        <w:t xml:space="preserve">and in particular of </w:t>
      </w:r>
      <w:r w:rsidRPr="00356AA1">
        <w:rPr>
          <w:sz w:val="20"/>
        </w:rPr>
        <w:t>the Provisional Irish Republican Army, came overwhelmingly from the Catholic community, wh</w:t>
      </w:r>
      <w:r w:rsidR="00BF3626" w:rsidRPr="00356AA1">
        <w:rPr>
          <w:sz w:val="20"/>
        </w:rPr>
        <w:t>ile</w:t>
      </w:r>
      <w:r w:rsidRPr="00356AA1">
        <w:rPr>
          <w:sz w:val="20"/>
        </w:rPr>
        <w:t xml:space="preserve"> </w:t>
      </w:r>
      <w:r w:rsidR="00BF3626" w:rsidRPr="00356AA1">
        <w:rPr>
          <w:sz w:val="20"/>
        </w:rPr>
        <w:t xml:space="preserve">the </w:t>
      </w:r>
      <w:r w:rsidRPr="00356AA1">
        <w:rPr>
          <w:sz w:val="20"/>
        </w:rPr>
        <w:t xml:space="preserve">members of </w:t>
      </w:r>
      <w:r w:rsidR="00BF3626" w:rsidRPr="00356AA1">
        <w:rPr>
          <w:sz w:val="20"/>
        </w:rPr>
        <w:t>L</w:t>
      </w:r>
      <w:r w:rsidRPr="00356AA1">
        <w:rPr>
          <w:sz w:val="20"/>
        </w:rPr>
        <w:t xml:space="preserve">oyalist armed groups, including </w:t>
      </w:r>
      <w:r w:rsidR="00BF3626" w:rsidRPr="00356AA1">
        <w:rPr>
          <w:sz w:val="20"/>
        </w:rPr>
        <w:t xml:space="preserve">of </w:t>
      </w:r>
      <w:r w:rsidRPr="00356AA1">
        <w:rPr>
          <w:sz w:val="20"/>
        </w:rPr>
        <w:t xml:space="preserve">the Ulster Volunteer Force and the Ulster Defence Association (also acting as </w:t>
      </w:r>
      <w:r w:rsidR="00BF3626" w:rsidRPr="00356AA1">
        <w:rPr>
          <w:sz w:val="20"/>
        </w:rPr>
        <w:t>“</w:t>
      </w:r>
      <w:r w:rsidRPr="00356AA1">
        <w:rPr>
          <w:sz w:val="20"/>
        </w:rPr>
        <w:t>Ulster Freedom Fighters</w:t>
      </w:r>
      <w:r w:rsidR="00BF3626" w:rsidRPr="00356AA1">
        <w:rPr>
          <w:sz w:val="20"/>
        </w:rPr>
        <w:t>”</w:t>
      </w:r>
      <w:r w:rsidRPr="00356AA1">
        <w:rPr>
          <w:sz w:val="20"/>
        </w:rPr>
        <w:t xml:space="preserve">), </w:t>
      </w:r>
      <w:r w:rsidR="00BF3626" w:rsidRPr="00356AA1">
        <w:rPr>
          <w:sz w:val="20"/>
        </w:rPr>
        <w:t xml:space="preserve">came </w:t>
      </w:r>
      <w:r w:rsidRPr="00356AA1">
        <w:rPr>
          <w:sz w:val="20"/>
        </w:rPr>
        <w:t>predominantly from the Protestant community.</w:t>
      </w:r>
    </w:p>
    <w:p w:rsidR="00FF4737" w:rsidRPr="00356AA1" w:rsidRDefault="00E17B11">
      <w:pPr>
        <w:pStyle w:val="SingleTxtG"/>
        <w:rPr>
          <w:sz w:val="20"/>
        </w:rPr>
      </w:pPr>
      <w:r w:rsidRPr="00356AA1">
        <w:rPr>
          <w:sz w:val="20"/>
        </w:rPr>
        <w:t>8.</w:t>
      </w:r>
      <w:r w:rsidRPr="00356AA1">
        <w:rPr>
          <w:sz w:val="20"/>
        </w:rPr>
        <w:tab/>
        <w:t xml:space="preserve">The </w:t>
      </w:r>
      <w:r w:rsidR="00BF3626" w:rsidRPr="00356AA1">
        <w:rPr>
          <w:sz w:val="20"/>
        </w:rPr>
        <w:t xml:space="preserve">most recent </w:t>
      </w:r>
      <w:r w:rsidRPr="00356AA1">
        <w:rPr>
          <w:sz w:val="20"/>
        </w:rPr>
        <w:t xml:space="preserve">phase of </w:t>
      </w:r>
      <w:r w:rsidR="00A217A5" w:rsidRPr="00356AA1">
        <w:rPr>
          <w:sz w:val="20"/>
        </w:rPr>
        <w:t xml:space="preserve">the </w:t>
      </w:r>
      <w:r w:rsidRPr="00356AA1">
        <w:rPr>
          <w:sz w:val="20"/>
        </w:rPr>
        <w:t>conflict was preceded</w:t>
      </w:r>
      <w:r w:rsidR="00BF3626" w:rsidRPr="00356AA1">
        <w:rPr>
          <w:sz w:val="20"/>
        </w:rPr>
        <w:t>,</w:t>
      </w:r>
      <w:r w:rsidRPr="00356AA1">
        <w:rPr>
          <w:sz w:val="20"/>
        </w:rPr>
        <w:t xml:space="preserve"> </w:t>
      </w:r>
      <w:r w:rsidR="00BF3626" w:rsidRPr="00356AA1">
        <w:rPr>
          <w:sz w:val="20"/>
        </w:rPr>
        <w:t xml:space="preserve">in the 1960s, </w:t>
      </w:r>
      <w:r w:rsidRPr="00356AA1">
        <w:rPr>
          <w:sz w:val="20"/>
        </w:rPr>
        <w:t xml:space="preserve">by a peaceful civil rights movement formed to curb the discrimination </w:t>
      </w:r>
      <w:r w:rsidR="00BF3626" w:rsidRPr="00356AA1">
        <w:rPr>
          <w:sz w:val="20"/>
        </w:rPr>
        <w:t xml:space="preserve">that </w:t>
      </w:r>
      <w:r w:rsidRPr="00356AA1">
        <w:rPr>
          <w:sz w:val="20"/>
        </w:rPr>
        <w:t xml:space="preserve">Catholics </w:t>
      </w:r>
      <w:r w:rsidR="00BF3626" w:rsidRPr="00356AA1">
        <w:rPr>
          <w:sz w:val="20"/>
        </w:rPr>
        <w:t>endured</w:t>
      </w:r>
      <w:r w:rsidRPr="00356AA1">
        <w:rPr>
          <w:sz w:val="20"/>
        </w:rPr>
        <w:t xml:space="preserve"> in </w:t>
      </w:r>
      <w:r w:rsidR="00BF3626" w:rsidRPr="00356AA1">
        <w:rPr>
          <w:sz w:val="20"/>
        </w:rPr>
        <w:t>certain aspects of daily</w:t>
      </w:r>
      <w:r w:rsidRPr="00356AA1">
        <w:rPr>
          <w:sz w:val="20"/>
        </w:rPr>
        <w:t xml:space="preserve"> life, including employment, housing, education and political representation. The demonstration</w:t>
      </w:r>
      <w:r w:rsidR="00AB2334" w:rsidRPr="00356AA1">
        <w:rPr>
          <w:sz w:val="20"/>
        </w:rPr>
        <w:t xml:space="preserve"> in Londonderry/Derry in 1972, when British security and military forces attacked demonstrators with lethal force –</w:t>
      </w:r>
      <w:r w:rsidRPr="00356AA1">
        <w:rPr>
          <w:sz w:val="20"/>
        </w:rPr>
        <w:t xml:space="preserve"> </w:t>
      </w:r>
      <w:r w:rsidR="00AB2334" w:rsidRPr="00356AA1">
        <w:rPr>
          <w:sz w:val="20"/>
        </w:rPr>
        <w:t xml:space="preserve">an event </w:t>
      </w:r>
      <w:r w:rsidRPr="00356AA1">
        <w:rPr>
          <w:sz w:val="20"/>
        </w:rPr>
        <w:t xml:space="preserve">later </w:t>
      </w:r>
      <w:r w:rsidR="00AB2334" w:rsidRPr="00356AA1">
        <w:rPr>
          <w:sz w:val="20"/>
        </w:rPr>
        <w:t xml:space="preserve">to become </w:t>
      </w:r>
      <w:r w:rsidRPr="00356AA1">
        <w:rPr>
          <w:sz w:val="20"/>
        </w:rPr>
        <w:t xml:space="preserve">known as </w:t>
      </w:r>
      <w:r w:rsidR="00AB2334" w:rsidRPr="00356AA1">
        <w:rPr>
          <w:sz w:val="20"/>
        </w:rPr>
        <w:t>“</w:t>
      </w:r>
      <w:r w:rsidRPr="00356AA1">
        <w:rPr>
          <w:sz w:val="20"/>
        </w:rPr>
        <w:t>Bloody Sunday</w:t>
      </w:r>
      <w:r w:rsidR="00AB2334" w:rsidRPr="00356AA1">
        <w:rPr>
          <w:sz w:val="20"/>
        </w:rPr>
        <w:t>” –</w:t>
      </w:r>
      <w:r w:rsidRPr="00356AA1">
        <w:rPr>
          <w:sz w:val="20"/>
        </w:rPr>
        <w:t xml:space="preserve"> marked a</w:t>
      </w:r>
      <w:r w:rsidR="00AB2334" w:rsidRPr="00356AA1">
        <w:rPr>
          <w:sz w:val="20"/>
        </w:rPr>
        <w:t>n upturn in</w:t>
      </w:r>
      <w:r w:rsidRPr="00356AA1">
        <w:rPr>
          <w:sz w:val="20"/>
        </w:rPr>
        <w:t xml:space="preserve"> violence. Th</w:t>
      </w:r>
      <w:r w:rsidR="00AB2334" w:rsidRPr="00356AA1">
        <w:rPr>
          <w:sz w:val="20"/>
        </w:rPr>
        <w:t>e</w:t>
      </w:r>
      <w:r w:rsidRPr="00356AA1">
        <w:rPr>
          <w:sz w:val="20"/>
        </w:rPr>
        <w:t xml:space="preserve"> clash, and others, precipitated the violence </w:t>
      </w:r>
      <w:r w:rsidR="00AB2334" w:rsidRPr="00356AA1">
        <w:rPr>
          <w:sz w:val="20"/>
        </w:rPr>
        <w:t xml:space="preserve">witnessed in </w:t>
      </w:r>
      <w:r w:rsidRPr="00356AA1">
        <w:rPr>
          <w:sz w:val="20"/>
        </w:rPr>
        <w:t>the decades</w:t>
      </w:r>
      <w:r w:rsidR="00AB2334" w:rsidRPr="00356AA1">
        <w:rPr>
          <w:sz w:val="20"/>
        </w:rPr>
        <w:t xml:space="preserve"> that followed</w:t>
      </w:r>
      <w:r w:rsidRPr="00356AA1">
        <w:rPr>
          <w:sz w:val="20"/>
        </w:rPr>
        <w:t xml:space="preserve">. Initiatives aimed at addressing </w:t>
      </w:r>
      <w:r w:rsidR="00AB2334" w:rsidRPr="00356AA1">
        <w:rPr>
          <w:sz w:val="20"/>
        </w:rPr>
        <w:t xml:space="preserve">the </w:t>
      </w:r>
      <w:r w:rsidRPr="00356AA1">
        <w:rPr>
          <w:sz w:val="20"/>
        </w:rPr>
        <w:t xml:space="preserve">political and legal causes of violence were </w:t>
      </w:r>
      <w:r w:rsidR="00AB2334" w:rsidRPr="00356AA1">
        <w:rPr>
          <w:sz w:val="20"/>
        </w:rPr>
        <w:t>un</w:t>
      </w:r>
      <w:r w:rsidRPr="00356AA1">
        <w:rPr>
          <w:sz w:val="20"/>
        </w:rPr>
        <w:t xml:space="preserve">successful. </w:t>
      </w:r>
    </w:p>
    <w:p w:rsidR="00FF4737" w:rsidRPr="00356AA1" w:rsidRDefault="00E17B11">
      <w:pPr>
        <w:pStyle w:val="SingleTxtG"/>
        <w:rPr>
          <w:sz w:val="20"/>
        </w:rPr>
      </w:pPr>
      <w:r w:rsidRPr="00356AA1">
        <w:rPr>
          <w:sz w:val="20"/>
        </w:rPr>
        <w:t>9.</w:t>
      </w:r>
      <w:r w:rsidRPr="00356AA1">
        <w:rPr>
          <w:sz w:val="20"/>
        </w:rPr>
        <w:tab/>
      </w:r>
      <w:r w:rsidR="0081044F" w:rsidRPr="00356AA1">
        <w:rPr>
          <w:sz w:val="20"/>
        </w:rPr>
        <w:t>T</w:t>
      </w:r>
      <w:r w:rsidRPr="00356AA1">
        <w:rPr>
          <w:sz w:val="20"/>
        </w:rPr>
        <w:t xml:space="preserve">he </w:t>
      </w:r>
      <w:r w:rsidR="0081044F" w:rsidRPr="00356AA1">
        <w:rPr>
          <w:sz w:val="20"/>
        </w:rPr>
        <w:t xml:space="preserve">Good Friday </w:t>
      </w:r>
      <w:r w:rsidRPr="00356AA1">
        <w:rPr>
          <w:sz w:val="20"/>
        </w:rPr>
        <w:t>Agreement</w:t>
      </w:r>
      <w:r w:rsidR="002453DC">
        <w:rPr>
          <w:sz w:val="20"/>
        </w:rPr>
        <w:t xml:space="preserve"> </w:t>
      </w:r>
      <w:r w:rsidR="0081044F" w:rsidRPr="00356AA1">
        <w:rPr>
          <w:sz w:val="20"/>
        </w:rPr>
        <w:t xml:space="preserve">signed in 1998 ultimately allowed for </w:t>
      </w:r>
      <w:r w:rsidRPr="00356AA1">
        <w:rPr>
          <w:sz w:val="20"/>
        </w:rPr>
        <w:t xml:space="preserve">extensive political reform, including devolution in the form of a </w:t>
      </w:r>
      <w:r w:rsidR="00A217A5" w:rsidRPr="00356AA1">
        <w:rPr>
          <w:sz w:val="20"/>
        </w:rPr>
        <w:t>Northern Irish e</w:t>
      </w:r>
      <w:r w:rsidRPr="00356AA1">
        <w:rPr>
          <w:sz w:val="20"/>
        </w:rPr>
        <w:t>xecutive with power over internal affairs. A complex power</w:t>
      </w:r>
      <w:r w:rsidR="0081044F" w:rsidRPr="00356AA1">
        <w:rPr>
          <w:sz w:val="20"/>
        </w:rPr>
        <w:t>-</w:t>
      </w:r>
      <w:r w:rsidRPr="00356AA1">
        <w:rPr>
          <w:sz w:val="20"/>
        </w:rPr>
        <w:t>sharing arrangement established in 1999 facilitate</w:t>
      </w:r>
      <w:r w:rsidR="0081044F" w:rsidRPr="00356AA1">
        <w:rPr>
          <w:sz w:val="20"/>
        </w:rPr>
        <w:t>d</w:t>
      </w:r>
      <w:r w:rsidRPr="00356AA1">
        <w:rPr>
          <w:sz w:val="20"/>
        </w:rPr>
        <w:t xml:space="preserve"> the representation of most political parties </w:t>
      </w:r>
      <w:r w:rsidR="0081044F" w:rsidRPr="00356AA1">
        <w:rPr>
          <w:sz w:val="20"/>
        </w:rPr>
        <w:t xml:space="preserve">in </w:t>
      </w:r>
      <w:r w:rsidRPr="00356AA1">
        <w:rPr>
          <w:sz w:val="20"/>
        </w:rPr>
        <w:t xml:space="preserve">the Assembly. The Agreement stipulated the legitimacy of a freely exercised choice by the majority of people in </w:t>
      </w:r>
      <w:r w:rsidR="00A217A5" w:rsidRPr="00356AA1">
        <w:rPr>
          <w:sz w:val="20"/>
        </w:rPr>
        <w:t xml:space="preserve">Northern Ireland </w:t>
      </w:r>
      <w:r w:rsidRPr="00356AA1">
        <w:rPr>
          <w:sz w:val="20"/>
        </w:rPr>
        <w:t xml:space="preserve">to remain part of the </w:t>
      </w:r>
      <w:r w:rsidR="0081044F" w:rsidRPr="00356AA1">
        <w:rPr>
          <w:sz w:val="20"/>
        </w:rPr>
        <w:t>United Kingdom</w:t>
      </w:r>
      <w:r w:rsidRPr="00356AA1">
        <w:rPr>
          <w:sz w:val="20"/>
        </w:rPr>
        <w:t xml:space="preserve"> or be a part of Ireland. The international nature of the </w:t>
      </w:r>
      <w:r w:rsidR="0081044F" w:rsidRPr="00356AA1">
        <w:rPr>
          <w:sz w:val="20"/>
        </w:rPr>
        <w:t>A</w:t>
      </w:r>
      <w:r w:rsidRPr="00356AA1">
        <w:rPr>
          <w:sz w:val="20"/>
        </w:rPr>
        <w:t xml:space="preserve">greement, involving the Republic of Ireland, is another noteworthy aspect. The Agreement was endorsed in a referendum </w:t>
      </w:r>
      <w:r w:rsidR="0081044F" w:rsidRPr="00356AA1">
        <w:rPr>
          <w:sz w:val="20"/>
        </w:rPr>
        <w:t xml:space="preserve">by 71 per cent of voters in Northern Ireland (where turnout was 81 per cent) and 94 per cent in the Republic of Ireland (where </w:t>
      </w:r>
      <w:r w:rsidRPr="00356AA1">
        <w:rPr>
          <w:sz w:val="20"/>
        </w:rPr>
        <w:t xml:space="preserve">turnout </w:t>
      </w:r>
      <w:r w:rsidR="0081044F" w:rsidRPr="00356AA1">
        <w:rPr>
          <w:sz w:val="20"/>
        </w:rPr>
        <w:t>was</w:t>
      </w:r>
      <w:r w:rsidRPr="00356AA1">
        <w:rPr>
          <w:sz w:val="20"/>
        </w:rPr>
        <w:t xml:space="preserve"> 51</w:t>
      </w:r>
      <w:r w:rsidR="0081044F" w:rsidRPr="00356AA1">
        <w:rPr>
          <w:sz w:val="20"/>
        </w:rPr>
        <w:t xml:space="preserve"> per cent)</w:t>
      </w:r>
      <w:r w:rsidRPr="00356AA1">
        <w:rPr>
          <w:sz w:val="20"/>
        </w:rPr>
        <w:t>.</w:t>
      </w:r>
    </w:p>
    <w:p w:rsidR="00FF4737" w:rsidRPr="00356AA1" w:rsidRDefault="00E17B11">
      <w:pPr>
        <w:pStyle w:val="SingleTxtG"/>
        <w:rPr>
          <w:sz w:val="20"/>
        </w:rPr>
      </w:pPr>
      <w:r w:rsidRPr="00356AA1">
        <w:rPr>
          <w:sz w:val="20"/>
        </w:rPr>
        <w:t>10.</w:t>
      </w:r>
      <w:r w:rsidRPr="00356AA1">
        <w:rPr>
          <w:sz w:val="20"/>
        </w:rPr>
        <w:tab/>
        <w:t>While th</w:t>
      </w:r>
      <w:r w:rsidR="0081044F" w:rsidRPr="00356AA1">
        <w:rPr>
          <w:sz w:val="20"/>
        </w:rPr>
        <w:t>e</w:t>
      </w:r>
      <w:r w:rsidRPr="00356AA1">
        <w:rPr>
          <w:sz w:val="20"/>
        </w:rPr>
        <w:t xml:space="preserve"> Agreement </w:t>
      </w:r>
      <w:r w:rsidR="0081044F" w:rsidRPr="00356AA1">
        <w:rPr>
          <w:sz w:val="20"/>
        </w:rPr>
        <w:t xml:space="preserve">succeeded in </w:t>
      </w:r>
      <w:r w:rsidRPr="00356AA1">
        <w:rPr>
          <w:sz w:val="20"/>
        </w:rPr>
        <w:t>curb</w:t>
      </w:r>
      <w:r w:rsidR="0081044F" w:rsidRPr="00356AA1">
        <w:rPr>
          <w:sz w:val="20"/>
        </w:rPr>
        <w:t>ing</w:t>
      </w:r>
      <w:r w:rsidRPr="00356AA1">
        <w:rPr>
          <w:sz w:val="20"/>
        </w:rPr>
        <w:t xml:space="preserve"> hostilities, instances of violence and tensions continued, particularly </w:t>
      </w:r>
      <w:r w:rsidR="0081044F" w:rsidRPr="00356AA1">
        <w:rPr>
          <w:sz w:val="20"/>
        </w:rPr>
        <w:t xml:space="preserve">in </w:t>
      </w:r>
      <w:r w:rsidRPr="00356AA1">
        <w:rPr>
          <w:sz w:val="20"/>
        </w:rPr>
        <w:t>the decommissioning of paramilitary groups</w:t>
      </w:r>
      <w:r w:rsidR="0081044F" w:rsidRPr="00356AA1">
        <w:rPr>
          <w:sz w:val="20"/>
        </w:rPr>
        <w:t xml:space="preserve">, leading </w:t>
      </w:r>
      <w:r w:rsidRPr="00356AA1">
        <w:rPr>
          <w:sz w:val="20"/>
        </w:rPr>
        <w:t xml:space="preserve">the Government </w:t>
      </w:r>
      <w:r w:rsidR="0081044F" w:rsidRPr="00356AA1">
        <w:rPr>
          <w:sz w:val="20"/>
        </w:rPr>
        <w:t xml:space="preserve">of the United Kingdom to </w:t>
      </w:r>
      <w:r w:rsidRPr="00356AA1">
        <w:rPr>
          <w:sz w:val="20"/>
        </w:rPr>
        <w:t xml:space="preserve">re-impose direct rule three times in the early 2000s. In follow-up political agreements, </w:t>
      </w:r>
      <w:r w:rsidR="000A3C4C" w:rsidRPr="00356AA1">
        <w:rPr>
          <w:sz w:val="20"/>
        </w:rPr>
        <w:t xml:space="preserve">such as </w:t>
      </w:r>
      <w:r w:rsidRPr="00356AA1">
        <w:rPr>
          <w:sz w:val="20"/>
        </w:rPr>
        <w:t>the Weston Park Agreement (2001) and the St</w:t>
      </w:r>
      <w:r w:rsidR="000A3C4C" w:rsidRPr="00356AA1">
        <w:rPr>
          <w:sz w:val="20"/>
        </w:rPr>
        <w:t>.</w:t>
      </w:r>
      <w:r w:rsidRPr="00356AA1">
        <w:rPr>
          <w:sz w:val="20"/>
        </w:rPr>
        <w:t xml:space="preserve"> Andrews Agreement (2006), the </w:t>
      </w:r>
      <w:r w:rsidR="000A3C4C" w:rsidRPr="00356AA1">
        <w:rPr>
          <w:sz w:val="20"/>
        </w:rPr>
        <w:t>G</w:t>
      </w:r>
      <w:r w:rsidRPr="00356AA1">
        <w:rPr>
          <w:sz w:val="20"/>
        </w:rPr>
        <w:t xml:space="preserve">overnments </w:t>
      </w:r>
      <w:r w:rsidR="000A3C4C" w:rsidRPr="00356AA1">
        <w:rPr>
          <w:sz w:val="20"/>
        </w:rPr>
        <w:t xml:space="preserve">of the United Kingdom and of Ireland </w:t>
      </w:r>
      <w:r w:rsidRPr="00356AA1">
        <w:rPr>
          <w:sz w:val="20"/>
        </w:rPr>
        <w:t xml:space="preserve">bolstered </w:t>
      </w:r>
      <w:r w:rsidR="000A3C4C" w:rsidRPr="00356AA1">
        <w:rPr>
          <w:sz w:val="20"/>
        </w:rPr>
        <w:t>previous</w:t>
      </w:r>
      <w:r w:rsidRPr="00356AA1">
        <w:rPr>
          <w:sz w:val="20"/>
        </w:rPr>
        <w:t xml:space="preserve"> commitments to support policing reform</w:t>
      </w:r>
      <w:r w:rsidR="000A3C4C" w:rsidRPr="00356AA1">
        <w:rPr>
          <w:sz w:val="20"/>
        </w:rPr>
        <w:t>,</w:t>
      </w:r>
      <w:r w:rsidRPr="00356AA1">
        <w:rPr>
          <w:sz w:val="20"/>
        </w:rPr>
        <w:t xml:space="preserve"> carry out certain investigations</w:t>
      </w:r>
      <w:r w:rsidR="000A3C4C" w:rsidRPr="00356AA1">
        <w:rPr>
          <w:sz w:val="20"/>
        </w:rPr>
        <w:t>,</w:t>
      </w:r>
      <w:r w:rsidRPr="00356AA1">
        <w:rPr>
          <w:sz w:val="20"/>
        </w:rPr>
        <w:t xml:space="preserve"> restore devolution</w:t>
      </w:r>
      <w:r w:rsidR="000A3C4C" w:rsidRPr="00356AA1">
        <w:rPr>
          <w:sz w:val="20"/>
        </w:rPr>
        <w:t>,</w:t>
      </w:r>
      <w:r w:rsidRPr="00356AA1">
        <w:rPr>
          <w:sz w:val="20"/>
        </w:rPr>
        <w:t xml:space="preserve"> establish a </w:t>
      </w:r>
      <w:r w:rsidR="000A3C4C" w:rsidRPr="00356AA1">
        <w:rPr>
          <w:sz w:val="20"/>
        </w:rPr>
        <w:t>v</w:t>
      </w:r>
      <w:r w:rsidRPr="00356AA1">
        <w:rPr>
          <w:sz w:val="20"/>
        </w:rPr>
        <w:t xml:space="preserve">ictims’ </w:t>
      </w:r>
      <w:r w:rsidR="000A3C4C" w:rsidRPr="00356AA1">
        <w:rPr>
          <w:sz w:val="20"/>
        </w:rPr>
        <w:t>c</w:t>
      </w:r>
      <w:r w:rsidRPr="00356AA1">
        <w:rPr>
          <w:sz w:val="20"/>
        </w:rPr>
        <w:t xml:space="preserve">ommissioner and re-integrate ex-prisoners. The Hillsborough Agreement (2010) </w:t>
      </w:r>
      <w:r w:rsidR="000A3C4C" w:rsidRPr="00356AA1">
        <w:rPr>
          <w:sz w:val="20"/>
        </w:rPr>
        <w:t>provided for the devolvement of</w:t>
      </w:r>
      <w:r w:rsidRPr="00356AA1">
        <w:rPr>
          <w:sz w:val="20"/>
        </w:rPr>
        <w:t xml:space="preserve"> justice and policing </w:t>
      </w:r>
      <w:r w:rsidR="000A3C4C" w:rsidRPr="00356AA1">
        <w:rPr>
          <w:sz w:val="20"/>
        </w:rPr>
        <w:t xml:space="preserve">matters </w:t>
      </w:r>
      <w:r w:rsidRPr="00356AA1">
        <w:rPr>
          <w:sz w:val="20"/>
        </w:rPr>
        <w:t>to N</w:t>
      </w:r>
      <w:r w:rsidR="000A3C4C" w:rsidRPr="00356AA1">
        <w:rPr>
          <w:sz w:val="20"/>
        </w:rPr>
        <w:t xml:space="preserve">orthern </w:t>
      </w:r>
      <w:r w:rsidRPr="00356AA1">
        <w:rPr>
          <w:sz w:val="20"/>
        </w:rPr>
        <w:t>I</w:t>
      </w:r>
      <w:r w:rsidR="000A3C4C" w:rsidRPr="00356AA1">
        <w:rPr>
          <w:sz w:val="20"/>
        </w:rPr>
        <w:t>reland</w:t>
      </w:r>
      <w:r w:rsidRPr="00356AA1">
        <w:rPr>
          <w:sz w:val="20"/>
        </w:rPr>
        <w:t xml:space="preserve">. </w:t>
      </w:r>
    </w:p>
    <w:p w:rsidR="00FF4737" w:rsidRPr="00356AA1" w:rsidRDefault="00E17B11">
      <w:pPr>
        <w:pStyle w:val="SingleTxtG"/>
        <w:rPr>
          <w:sz w:val="20"/>
        </w:rPr>
      </w:pPr>
      <w:r w:rsidRPr="00356AA1">
        <w:rPr>
          <w:sz w:val="20"/>
        </w:rPr>
        <w:t>11.</w:t>
      </w:r>
      <w:r w:rsidRPr="00356AA1">
        <w:rPr>
          <w:sz w:val="20"/>
        </w:rPr>
        <w:tab/>
        <w:t xml:space="preserve">Growing concerns over the security situation in 2013 saw negotiations among political parties </w:t>
      </w:r>
      <w:r w:rsidR="000A3C4C" w:rsidRPr="00356AA1">
        <w:rPr>
          <w:sz w:val="20"/>
        </w:rPr>
        <w:t xml:space="preserve">in Northern Ireland </w:t>
      </w:r>
      <w:r w:rsidRPr="00356AA1">
        <w:rPr>
          <w:sz w:val="20"/>
        </w:rPr>
        <w:t>on the complex issue</w:t>
      </w:r>
      <w:r w:rsidR="00127441" w:rsidRPr="00356AA1">
        <w:rPr>
          <w:sz w:val="20"/>
        </w:rPr>
        <w:t>s</w:t>
      </w:r>
      <w:r w:rsidRPr="00356AA1">
        <w:rPr>
          <w:sz w:val="20"/>
        </w:rPr>
        <w:t xml:space="preserve"> of </w:t>
      </w:r>
      <w:r w:rsidR="000A3C4C" w:rsidRPr="00356AA1">
        <w:rPr>
          <w:sz w:val="20"/>
        </w:rPr>
        <w:t>“p</w:t>
      </w:r>
      <w:r w:rsidRPr="00356AA1">
        <w:rPr>
          <w:sz w:val="20"/>
        </w:rPr>
        <w:t>arades, flags and dealing with the past</w:t>
      </w:r>
      <w:r w:rsidR="000A3C4C" w:rsidRPr="00356AA1">
        <w:rPr>
          <w:sz w:val="20"/>
        </w:rPr>
        <w:t>”</w:t>
      </w:r>
      <w:r w:rsidRPr="00356AA1">
        <w:rPr>
          <w:sz w:val="20"/>
        </w:rPr>
        <w:t xml:space="preserve"> ( </w:t>
      </w:r>
      <w:proofErr w:type="spellStart"/>
      <w:r w:rsidRPr="00356AA1">
        <w:rPr>
          <w:sz w:val="20"/>
        </w:rPr>
        <w:t>Haass</w:t>
      </w:r>
      <w:proofErr w:type="spellEnd"/>
      <w:r w:rsidRPr="00356AA1">
        <w:rPr>
          <w:sz w:val="20"/>
        </w:rPr>
        <w:t xml:space="preserve">-O’Sullivan talks). While several areas </w:t>
      </w:r>
      <w:r w:rsidR="00127441" w:rsidRPr="00356AA1">
        <w:rPr>
          <w:sz w:val="20"/>
        </w:rPr>
        <w:t xml:space="preserve">witnessed some </w:t>
      </w:r>
      <w:r w:rsidRPr="00356AA1">
        <w:rPr>
          <w:sz w:val="20"/>
        </w:rPr>
        <w:t>progress, the parties ultimately failed to reach an overarching agreement.</w:t>
      </w:r>
      <w:r w:rsidR="00781044">
        <w:rPr>
          <w:sz w:val="20"/>
        </w:rPr>
        <w:t xml:space="preserve"> </w:t>
      </w:r>
    </w:p>
    <w:p w:rsidR="00FF4737" w:rsidRPr="00356AA1" w:rsidRDefault="00E17B11">
      <w:pPr>
        <w:pStyle w:val="SingleTxtG"/>
        <w:rPr>
          <w:sz w:val="20"/>
        </w:rPr>
      </w:pPr>
      <w:r w:rsidRPr="00356AA1">
        <w:rPr>
          <w:sz w:val="20"/>
        </w:rPr>
        <w:t>12.</w:t>
      </w:r>
      <w:r w:rsidRPr="00356AA1">
        <w:rPr>
          <w:sz w:val="20"/>
        </w:rPr>
        <w:tab/>
        <w:t xml:space="preserve">The </w:t>
      </w:r>
      <w:r w:rsidR="00127441" w:rsidRPr="00356AA1">
        <w:rPr>
          <w:sz w:val="20"/>
        </w:rPr>
        <w:t xml:space="preserve">visit </w:t>
      </w:r>
      <w:r w:rsidR="00084771">
        <w:rPr>
          <w:sz w:val="20"/>
        </w:rPr>
        <w:t>of</w:t>
      </w:r>
      <w:r w:rsidR="00127441" w:rsidRPr="00356AA1">
        <w:rPr>
          <w:sz w:val="20"/>
        </w:rPr>
        <w:t xml:space="preserve"> the </w:t>
      </w:r>
      <w:r w:rsidRPr="00356AA1">
        <w:rPr>
          <w:sz w:val="20"/>
        </w:rPr>
        <w:t>Special Rapporteur in November 2015 coincided with the la</w:t>
      </w:r>
      <w:r w:rsidR="00127441" w:rsidRPr="00356AA1">
        <w:rPr>
          <w:sz w:val="20"/>
        </w:rPr>
        <w:t xml:space="preserve">tter </w:t>
      </w:r>
      <w:r w:rsidRPr="00356AA1">
        <w:rPr>
          <w:sz w:val="20"/>
        </w:rPr>
        <w:t xml:space="preserve">part of </w:t>
      </w:r>
      <w:r w:rsidR="00127441" w:rsidRPr="00356AA1">
        <w:rPr>
          <w:sz w:val="20"/>
        </w:rPr>
        <w:t xml:space="preserve">a </w:t>
      </w:r>
      <w:r w:rsidRPr="00356AA1">
        <w:rPr>
          <w:sz w:val="20"/>
        </w:rPr>
        <w:t>10-week</w:t>
      </w:r>
      <w:r w:rsidR="00127441" w:rsidRPr="00356AA1">
        <w:rPr>
          <w:sz w:val="20"/>
        </w:rPr>
        <w:t>-</w:t>
      </w:r>
      <w:r w:rsidRPr="00356AA1">
        <w:rPr>
          <w:sz w:val="20"/>
        </w:rPr>
        <w:t xml:space="preserve">long </w:t>
      </w:r>
      <w:r w:rsidR="00127441" w:rsidRPr="00356AA1">
        <w:rPr>
          <w:sz w:val="20"/>
        </w:rPr>
        <w:t xml:space="preserve">process of </w:t>
      </w:r>
      <w:r w:rsidRPr="00356AA1">
        <w:rPr>
          <w:sz w:val="20"/>
        </w:rPr>
        <w:t xml:space="preserve">negotiations on the </w:t>
      </w:r>
      <w:r w:rsidR="00127441" w:rsidRPr="00356AA1">
        <w:rPr>
          <w:sz w:val="20"/>
        </w:rPr>
        <w:t>i</w:t>
      </w:r>
      <w:r w:rsidRPr="00356AA1">
        <w:rPr>
          <w:sz w:val="20"/>
        </w:rPr>
        <w:t xml:space="preserve">mplementation of the Stormont House Agreement. On 17 November 2015, an agreement was reached on all main issues, except </w:t>
      </w:r>
      <w:r w:rsidR="00F84E57" w:rsidRPr="00356AA1">
        <w:rPr>
          <w:sz w:val="20"/>
        </w:rPr>
        <w:t>with regard</w:t>
      </w:r>
      <w:r w:rsidRPr="00356AA1">
        <w:rPr>
          <w:sz w:val="20"/>
        </w:rPr>
        <w:t xml:space="preserve"> to the new institutional set-up on </w:t>
      </w:r>
      <w:r w:rsidR="00755302">
        <w:rPr>
          <w:sz w:val="20"/>
        </w:rPr>
        <w:t>dealing with legacy issues</w:t>
      </w:r>
      <w:r w:rsidRPr="00356AA1">
        <w:rPr>
          <w:sz w:val="20"/>
        </w:rPr>
        <w:t>. Th</w:t>
      </w:r>
      <w:r w:rsidR="00F84E57" w:rsidRPr="00356AA1">
        <w:rPr>
          <w:sz w:val="20"/>
        </w:rPr>
        <w:t>e</w:t>
      </w:r>
      <w:r w:rsidRPr="00356AA1">
        <w:rPr>
          <w:sz w:val="20"/>
        </w:rPr>
        <w:t xml:space="preserve"> stalemate </w:t>
      </w:r>
      <w:r w:rsidR="00665B9F" w:rsidRPr="00356AA1">
        <w:rPr>
          <w:sz w:val="20"/>
        </w:rPr>
        <w:t>continued the</w:t>
      </w:r>
      <w:r w:rsidR="00F84E57" w:rsidRPr="00356AA1">
        <w:rPr>
          <w:sz w:val="20"/>
        </w:rPr>
        <w:t xml:space="preserve"> </w:t>
      </w:r>
      <w:r w:rsidRPr="00356AA1">
        <w:rPr>
          <w:sz w:val="20"/>
        </w:rPr>
        <w:t xml:space="preserve">pattern of previous political agreements, </w:t>
      </w:r>
      <w:r w:rsidR="00665B9F" w:rsidRPr="00356AA1">
        <w:rPr>
          <w:sz w:val="20"/>
        </w:rPr>
        <w:t xml:space="preserve">that is, </w:t>
      </w:r>
      <w:r w:rsidRPr="00356AA1">
        <w:rPr>
          <w:sz w:val="20"/>
        </w:rPr>
        <w:t>stopp</w:t>
      </w:r>
      <w:r w:rsidR="00665B9F" w:rsidRPr="00356AA1">
        <w:rPr>
          <w:sz w:val="20"/>
        </w:rPr>
        <w:t>ing</w:t>
      </w:r>
      <w:r w:rsidRPr="00356AA1">
        <w:rPr>
          <w:sz w:val="20"/>
        </w:rPr>
        <w:t xml:space="preserve"> short of </w:t>
      </w:r>
      <w:r w:rsidR="00665B9F" w:rsidRPr="00356AA1">
        <w:rPr>
          <w:sz w:val="20"/>
        </w:rPr>
        <w:t xml:space="preserve">a </w:t>
      </w:r>
      <w:r w:rsidRPr="00356AA1">
        <w:rPr>
          <w:sz w:val="20"/>
        </w:rPr>
        <w:t xml:space="preserve">comprehensive </w:t>
      </w:r>
      <w:r w:rsidR="00665B9F" w:rsidRPr="00356AA1">
        <w:rPr>
          <w:sz w:val="20"/>
        </w:rPr>
        <w:t xml:space="preserve">understanding of how to address </w:t>
      </w:r>
      <w:r w:rsidRPr="00356AA1">
        <w:rPr>
          <w:sz w:val="20"/>
        </w:rPr>
        <w:t xml:space="preserve">past </w:t>
      </w:r>
      <w:r w:rsidR="00665B9F" w:rsidRPr="00356AA1">
        <w:rPr>
          <w:sz w:val="20"/>
        </w:rPr>
        <w:t xml:space="preserve">events </w:t>
      </w:r>
      <w:r w:rsidRPr="00356AA1">
        <w:rPr>
          <w:sz w:val="20"/>
        </w:rPr>
        <w:t xml:space="preserve">in </w:t>
      </w:r>
      <w:r w:rsidR="00A217A5" w:rsidRPr="00356AA1">
        <w:rPr>
          <w:sz w:val="20"/>
        </w:rPr>
        <w:t>Northern Ireland</w:t>
      </w:r>
      <w:r w:rsidRPr="00356AA1">
        <w:rPr>
          <w:sz w:val="20"/>
        </w:rPr>
        <w:t>.</w:t>
      </w:r>
    </w:p>
    <w:p w:rsidR="00FF4737" w:rsidRPr="00FF4737" w:rsidRDefault="00896E64" w:rsidP="00356AA1">
      <w:pPr>
        <w:pStyle w:val="HChG"/>
        <w:spacing w:line="240" w:lineRule="atLeast"/>
        <w:rPr>
          <w:lang w:eastAsia="en-GB"/>
        </w:rPr>
      </w:pPr>
      <w:r w:rsidRPr="00FF4737">
        <w:rPr>
          <w:lang w:eastAsia="en-GB"/>
        </w:rPr>
        <w:lastRenderedPageBreak/>
        <w:tab/>
        <w:t>III.</w:t>
      </w:r>
      <w:r w:rsidRPr="00FF4737">
        <w:rPr>
          <w:lang w:eastAsia="en-GB"/>
        </w:rPr>
        <w:tab/>
        <w:t>General considerations</w:t>
      </w:r>
    </w:p>
    <w:p w:rsidR="00FF4737" w:rsidRPr="00356AA1" w:rsidRDefault="00896E64">
      <w:pPr>
        <w:pStyle w:val="SingleTxtG"/>
        <w:rPr>
          <w:sz w:val="20"/>
        </w:rPr>
      </w:pPr>
      <w:r w:rsidRPr="00356AA1">
        <w:rPr>
          <w:sz w:val="20"/>
        </w:rPr>
        <w:t>13.</w:t>
      </w:r>
      <w:r w:rsidRPr="00356AA1">
        <w:rPr>
          <w:sz w:val="20"/>
        </w:rPr>
        <w:tab/>
        <w:t xml:space="preserve">Despite </w:t>
      </w:r>
      <w:r w:rsidR="00665B9F" w:rsidRPr="00356AA1">
        <w:rPr>
          <w:sz w:val="20"/>
        </w:rPr>
        <w:t xml:space="preserve">the </w:t>
      </w:r>
      <w:r w:rsidRPr="00356AA1">
        <w:rPr>
          <w:sz w:val="20"/>
        </w:rPr>
        <w:t xml:space="preserve">consensus that the past </w:t>
      </w:r>
      <w:r w:rsidR="00665B9F" w:rsidRPr="00356AA1">
        <w:rPr>
          <w:sz w:val="20"/>
        </w:rPr>
        <w:t xml:space="preserve">should </w:t>
      </w:r>
      <w:r w:rsidRPr="00356AA1">
        <w:rPr>
          <w:sz w:val="20"/>
        </w:rPr>
        <w:t xml:space="preserve">be </w:t>
      </w:r>
      <w:r w:rsidR="00665B9F" w:rsidRPr="00356AA1">
        <w:rPr>
          <w:sz w:val="20"/>
        </w:rPr>
        <w:t>addressed</w:t>
      </w:r>
      <w:r w:rsidRPr="00356AA1">
        <w:rPr>
          <w:sz w:val="20"/>
        </w:rPr>
        <w:t xml:space="preserve">, no </w:t>
      </w:r>
      <w:r w:rsidR="00665B9F" w:rsidRPr="00356AA1">
        <w:rPr>
          <w:sz w:val="20"/>
        </w:rPr>
        <w:t xml:space="preserve">single </w:t>
      </w:r>
      <w:r w:rsidRPr="00356AA1">
        <w:rPr>
          <w:sz w:val="20"/>
        </w:rPr>
        <w:t xml:space="preserve">narrative of the past is acceptable to all sides. Even </w:t>
      </w:r>
      <w:r w:rsidR="00665B9F" w:rsidRPr="00356AA1">
        <w:rPr>
          <w:sz w:val="20"/>
        </w:rPr>
        <w:t xml:space="preserve">certain </w:t>
      </w:r>
      <w:r w:rsidRPr="00356AA1">
        <w:rPr>
          <w:sz w:val="20"/>
        </w:rPr>
        <w:t xml:space="preserve">words about the past are used by some </w:t>
      </w:r>
      <w:r w:rsidR="00665B9F" w:rsidRPr="00356AA1">
        <w:rPr>
          <w:sz w:val="20"/>
        </w:rPr>
        <w:t>“</w:t>
      </w:r>
      <w:r w:rsidRPr="00356AA1">
        <w:rPr>
          <w:sz w:val="20"/>
        </w:rPr>
        <w:t>to continue the struggle through other means</w:t>
      </w:r>
      <w:r w:rsidR="00665B9F" w:rsidRPr="00356AA1">
        <w:rPr>
          <w:sz w:val="20"/>
        </w:rPr>
        <w:t>”</w:t>
      </w:r>
      <w:r w:rsidRPr="00356AA1">
        <w:rPr>
          <w:sz w:val="20"/>
        </w:rPr>
        <w:t xml:space="preserve">. </w:t>
      </w:r>
      <w:r w:rsidR="003F68AC" w:rsidRPr="00356AA1">
        <w:rPr>
          <w:sz w:val="20"/>
        </w:rPr>
        <w:t xml:space="preserve">Disagreement even </w:t>
      </w:r>
      <w:r w:rsidRPr="00356AA1">
        <w:rPr>
          <w:sz w:val="20"/>
        </w:rPr>
        <w:t xml:space="preserve">relates to terms with </w:t>
      </w:r>
      <w:r w:rsidR="003F68AC" w:rsidRPr="00356AA1">
        <w:rPr>
          <w:sz w:val="20"/>
        </w:rPr>
        <w:t xml:space="preserve">a </w:t>
      </w:r>
      <w:r w:rsidRPr="00356AA1">
        <w:rPr>
          <w:sz w:val="20"/>
        </w:rPr>
        <w:t xml:space="preserve">well-established legal definition, </w:t>
      </w:r>
      <w:r w:rsidR="003F68AC" w:rsidRPr="00356AA1">
        <w:rPr>
          <w:sz w:val="20"/>
        </w:rPr>
        <w:t>such as “</w:t>
      </w:r>
      <w:r w:rsidRPr="00356AA1">
        <w:rPr>
          <w:sz w:val="20"/>
        </w:rPr>
        <w:t>conflict</w:t>
      </w:r>
      <w:r w:rsidR="003F68AC" w:rsidRPr="00356AA1">
        <w:rPr>
          <w:sz w:val="20"/>
        </w:rPr>
        <w:t>”</w:t>
      </w:r>
      <w:r w:rsidRPr="00356AA1">
        <w:rPr>
          <w:sz w:val="20"/>
        </w:rPr>
        <w:t xml:space="preserve"> or </w:t>
      </w:r>
      <w:r w:rsidR="003F68AC" w:rsidRPr="00356AA1">
        <w:rPr>
          <w:sz w:val="20"/>
        </w:rPr>
        <w:t>“</w:t>
      </w:r>
      <w:r w:rsidRPr="00356AA1">
        <w:rPr>
          <w:sz w:val="20"/>
        </w:rPr>
        <w:t>victim</w:t>
      </w:r>
      <w:r w:rsidR="003F68AC" w:rsidRPr="00356AA1">
        <w:rPr>
          <w:sz w:val="20"/>
        </w:rPr>
        <w:t>”</w:t>
      </w:r>
      <w:r w:rsidRPr="00356AA1">
        <w:rPr>
          <w:sz w:val="20"/>
        </w:rPr>
        <w:t xml:space="preserve">, </w:t>
      </w:r>
      <w:r w:rsidR="003F68AC" w:rsidRPr="00356AA1">
        <w:rPr>
          <w:sz w:val="20"/>
        </w:rPr>
        <w:t xml:space="preserve">the latter being </w:t>
      </w:r>
      <w:r w:rsidRPr="00356AA1">
        <w:rPr>
          <w:sz w:val="20"/>
        </w:rPr>
        <w:t>a term</w:t>
      </w:r>
      <w:r w:rsidR="003F68AC" w:rsidRPr="00356AA1">
        <w:rPr>
          <w:sz w:val="20"/>
        </w:rPr>
        <w:t xml:space="preserve"> that remains</w:t>
      </w:r>
      <w:r w:rsidRPr="00356AA1">
        <w:rPr>
          <w:sz w:val="20"/>
        </w:rPr>
        <w:t xml:space="preserve">, in particular, the subject of intense contestation. Indeed, the very notion of human rights, which by its universality should play a socially integrative function, is </w:t>
      </w:r>
      <w:r w:rsidR="003F68AC" w:rsidRPr="00356AA1">
        <w:rPr>
          <w:sz w:val="20"/>
        </w:rPr>
        <w:t xml:space="preserve">regretfully </w:t>
      </w:r>
      <w:r w:rsidRPr="00356AA1">
        <w:rPr>
          <w:sz w:val="20"/>
        </w:rPr>
        <w:t>seen by too many as a banner for partisanship.</w:t>
      </w:r>
    </w:p>
    <w:p w:rsidR="00FF4737" w:rsidRPr="00356AA1" w:rsidRDefault="00896E64">
      <w:pPr>
        <w:pStyle w:val="SingleTxtG"/>
        <w:rPr>
          <w:sz w:val="20"/>
        </w:rPr>
      </w:pPr>
      <w:r w:rsidRPr="00356AA1">
        <w:rPr>
          <w:sz w:val="20"/>
        </w:rPr>
        <w:t>14.</w:t>
      </w:r>
      <w:r w:rsidRPr="00356AA1">
        <w:rPr>
          <w:sz w:val="20"/>
        </w:rPr>
        <w:tab/>
      </w:r>
      <w:r w:rsidR="003F68AC" w:rsidRPr="00356AA1">
        <w:rPr>
          <w:sz w:val="20"/>
        </w:rPr>
        <w:t>The c</w:t>
      </w:r>
      <w:r w:rsidRPr="00356AA1">
        <w:rPr>
          <w:sz w:val="20"/>
        </w:rPr>
        <w:t>urrent statutory mechanisms alone</w:t>
      </w:r>
      <w:r w:rsidR="003F68AC" w:rsidRPr="00356AA1">
        <w:rPr>
          <w:sz w:val="20"/>
        </w:rPr>
        <w:t xml:space="preserve"> cannot </w:t>
      </w:r>
      <w:r w:rsidRPr="00356AA1">
        <w:rPr>
          <w:sz w:val="20"/>
        </w:rPr>
        <w:t xml:space="preserve">address this situation. The central mission is to </w:t>
      </w:r>
      <w:r w:rsidR="00D93A75">
        <w:rPr>
          <w:sz w:val="20"/>
        </w:rPr>
        <w:t>liberate</w:t>
      </w:r>
      <w:r w:rsidR="00463CC4" w:rsidRPr="00356AA1">
        <w:rPr>
          <w:sz w:val="20"/>
        </w:rPr>
        <w:t xml:space="preserve"> </w:t>
      </w:r>
      <w:r w:rsidR="003F68AC" w:rsidRPr="00356AA1">
        <w:rPr>
          <w:sz w:val="20"/>
        </w:rPr>
        <w:t xml:space="preserve">all parties </w:t>
      </w:r>
      <w:r w:rsidRPr="00356AA1">
        <w:rPr>
          <w:sz w:val="20"/>
        </w:rPr>
        <w:t xml:space="preserve">from the sense that the uniqueness and greater sense of victimhood of the members of one community must be remembered and acknowledged before beginning any discussion about how to move forward. Once </w:t>
      </w:r>
      <w:r w:rsidR="003F68AC" w:rsidRPr="00356AA1">
        <w:rPr>
          <w:sz w:val="20"/>
        </w:rPr>
        <w:t>all parties are</w:t>
      </w:r>
      <w:r w:rsidRPr="00356AA1">
        <w:rPr>
          <w:sz w:val="20"/>
        </w:rPr>
        <w:t xml:space="preserve"> recognized as equal member</w:t>
      </w:r>
      <w:r w:rsidR="003F68AC" w:rsidRPr="00356AA1">
        <w:rPr>
          <w:sz w:val="20"/>
        </w:rPr>
        <w:t>s</w:t>
      </w:r>
      <w:r w:rsidRPr="00356AA1">
        <w:rPr>
          <w:sz w:val="20"/>
        </w:rPr>
        <w:t xml:space="preserve"> of a shared, collective political project, it will be easier to manifest allegiances without </w:t>
      </w:r>
      <w:r w:rsidR="003F68AC" w:rsidRPr="00356AA1">
        <w:rPr>
          <w:sz w:val="20"/>
        </w:rPr>
        <w:t>once again recalling</w:t>
      </w:r>
      <w:r w:rsidRPr="00356AA1">
        <w:rPr>
          <w:sz w:val="20"/>
        </w:rPr>
        <w:t xml:space="preserve"> the many ways </w:t>
      </w:r>
      <w:r w:rsidR="003F68AC" w:rsidRPr="00356AA1">
        <w:rPr>
          <w:sz w:val="20"/>
        </w:rPr>
        <w:t xml:space="preserve">that one </w:t>
      </w:r>
      <w:r w:rsidRPr="00356AA1">
        <w:rPr>
          <w:sz w:val="20"/>
        </w:rPr>
        <w:t>communit</w:t>
      </w:r>
      <w:r w:rsidR="003F68AC" w:rsidRPr="00356AA1">
        <w:rPr>
          <w:sz w:val="20"/>
        </w:rPr>
        <w:t>y</w:t>
      </w:r>
      <w:r w:rsidRPr="00356AA1">
        <w:rPr>
          <w:sz w:val="20"/>
        </w:rPr>
        <w:t xml:space="preserve"> </w:t>
      </w:r>
      <w:r w:rsidR="003F68AC" w:rsidRPr="00356AA1">
        <w:rPr>
          <w:sz w:val="20"/>
        </w:rPr>
        <w:t xml:space="preserve">has </w:t>
      </w:r>
      <w:r w:rsidRPr="00356AA1">
        <w:rPr>
          <w:sz w:val="20"/>
        </w:rPr>
        <w:t xml:space="preserve">aggrieved </w:t>
      </w:r>
      <w:r w:rsidR="003F68AC" w:rsidRPr="00356AA1">
        <w:rPr>
          <w:sz w:val="20"/>
        </w:rPr>
        <w:t>another</w:t>
      </w:r>
      <w:r w:rsidRPr="00356AA1">
        <w:rPr>
          <w:sz w:val="20"/>
        </w:rPr>
        <w:t xml:space="preserve"> in the past. </w:t>
      </w:r>
    </w:p>
    <w:p w:rsidR="00FF4737" w:rsidRPr="00356AA1" w:rsidRDefault="00896E64">
      <w:pPr>
        <w:pStyle w:val="SingleTxtG"/>
        <w:rPr>
          <w:sz w:val="20"/>
        </w:rPr>
      </w:pPr>
      <w:r w:rsidRPr="00356AA1">
        <w:rPr>
          <w:sz w:val="20"/>
        </w:rPr>
        <w:t>15.</w:t>
      </w:r>
      <w:r w:rsidRPr="00356AA1">
        <w:rPr>
          <w:sz w:val="20"/>
        </w:rPr>
        <w:tab/>
        <w:t xml:space="preserve">Truth, justice, reparations and guarantees of non-recurrence understood as </w:t>
      </w:r>
      <w:r w:rsidR="004B696D" w:rsidRPr="00356AA1">
        <w:rPr>
          <w:sz w:val="20"/>
        </w:rPr>
        <w:t>components</w:t>
      </w:r>
      <w:r w:rsidRPr="00356AA1">
        <w:rPr>
          <w:sz w:val="20"/>
        </w:rPr>
        <w:t xml:space="preserve"> of a comprehensive policy to redress legacies of violations and abuse can </w:t>
      </w:r>
      <w:r w:rsidR="004B696D" w:rsidRPr="00356AA1">
        <w:rPr>
          <w:sz w:val="20"/>
        </w:rPr>
        <w:t>afford</w:t>
      </w:r>
      <w:r w:rsidRPr="00356AA1">
        <w:rPr>
          <w:sz w:val="20"/>
        </w:rPr>
        <w:t xml:space="preserve"> recognition to victims, promote civic trust, strengthen the rule of law and contribute to reconciliation or social integration. </w:t>
      </w:r>
      <w:r w:rsidR="004B696D" w:rsidRPr="00356AA1">
        <w:rPr>
          <w:sz w:val="20"/>
        </w:rPr>
        <w:t xml:space="preserve">Such </w:t>
      </w:r>
      <w:r w:rsidRPr="00356AA1">
        <w:rPr>
          <w:sz w:val="20"/>
        </w:rPr>
        <w:t xml:space="preserve">measures </w:t>
      </w:r>
      <w:r w:rsidR="004B696D" w:rsidRPr="00356AA1">
        <w:rPr>
          <w:sz w:val="20"/>
        </w:rPr>
        <w:t xml:space="preserve">should </w:t>
      </w:r>
      <w:r w:rsidRPr="00356AA1">
        <w:rPr>
          <w:sz w:val="20"/>
        </w:rPr>
        <w:t>not</w:t>
      </w:r>
      <w:r w:rsidR="004B696D" w:rsidRPr="00356AA1">
        <w:rPr>
          <w:sz w:val="20"/>
        </w:rPr>
        <w:t>, however,</w:t>
      </w:r>
      <w:r w:rsidRPr="00356AA1">
        <w:rPr>
          <w:sz w:val="20"/>
        </w:rPr>
        <w:t xml:space="preserve"> be </w:t>
      </w:r>
      <w:r w:rsidR="004B696D" w:rsidRPr="00356AA1">
        <w:rPr>
          <w:sz w:val="20"/>
        </w:rPr>
        <w:t xml:space="preserve">used as </w:t>
      </w:r>
      <w:r w:rsidRPr="00356AA1">
        <w:rPr>
          <w:sz w:val="20"/>
        </w:rPr>
        <w:t xml:space="preserve">instruments of </w:t>
      </w:r>
      <w:r w:rsidR="00463CC4">
        <w:rPr>
          <w:sz w:val="20"/>
        </w:rPr>
        <w:t>“</w:t>
      </w:r>
      <w:r w:rsidRPr="00356AA1">
        <w:rPr>
          <w:sz w:val="20"/>
        </w:rPr>
        <w:t>turn-taking</w:t>
      </w:r>
      <w:r w:rsidR="001E1031">
        <w:rPr>
          <w:sz w:val="20"/>
        </w:rPr>
        <w:t>”</w:t>
      </w:r>
      <w:r w:rsidRPr="00356AA1">
        <w:rPr>
          <w:sz w:val="20"/>
        </w:rPr>
        <w:t xml:space="preserve">, tools of patronage or a guarantee of control over a particular constituency. Nothing undermines the socially integrative potential of justice measures more than the fact or the perception that their design </w:t>
      </w:r>
      <w:r w:rsidR="004B696D" w:rsidRPr="00356AA1">
        <w:rPr>
          <w:sz w:val="20"/>
        </w:rPr>
        <w:t xml:space="preserve">or </w:t>
      </w:r>
      <w:r w:rsidRPr="00356AA1">
        <w:rPr>
          <w:sz w:val="20"/>
        </w:rPr>
        <w:t xml:space="preserve">implementation is partial. </w:t>
      </w:r>
      <w:r w:rsidR="00084771">
        <w:rPr>
          <w:sz w:val="20"/>
        </w:rPr>
        <w:t>Ultimately</w:t>
      </w:r>
      <w:r w:rsidRPr="00356AA1">
        <w:rPr>
          <w:sz w:val="20"/>
        </w:rPr>
        <w:t xml:space="preserve">, truth, justice, reparation and guarantees of non-recurrence </w:t>
      </w:r>
      <w:r w:rsidR="004B696D" w:rsidRPr="00356AA1">
        <w:rPr>
          <w:sz w:val="20"/>
        </w:rPr>
        <w:t xml:space="preserve">will be </w:t>
      </w:r>
      <w:r w:rsidRPr="00356AA1">
        <w:rPr>
          <w:sz w:val="20"/>
        </w:rPr>
        <w:t>effective only if the violation of fundamental rights is the sole consideration triggering access to these measures</w:t>
      </w:r>
      <w:r w:rsidR="004B696D" w:rsidRPr="00356AA1">
        <w:rPr>
          <w:sz w:val="20"/>
        </w:rPr>
        <w:t xml:space="preserve"> (see A/HRC/21/46, para. 24)</w:t>
      </w:r>
      <w:r w:rsidRPr="00356AA1">
        <w:rPr>
          <w:sz w:val="20"/>
        </w:rPr>
        <w:t>.</w:t>
      </w:r>
    </w:p>
    <w:p w:rsidR="00FF4737" w:rsidRPr="00356AA1" w:rsidRDefault="00896E64">
      <w:pPr>
        <w:pStyle w:val="SingleTxtG"/>
        <w:rPr>
          <w:sz w:val="20"/>
        </w:rPr>
      </w:pPr>
      <w:r w:rsidRPr="00356AA1">
        <w:rPr>
          <w:sz w:val="20"/>
        </w:rPr>
        <w:t>16.</w:t>
      </w:r>
      <w:r w:rsidRPr="00356AA1">
        <w:rPr>
          <w:sz w:val="20"/>
        </w:rPr>
        <w:tab/>
        <w:t xml:space="preserve">Despite the </w:t>
      </w:r>
      <w:r w:rsidR="004B696D" w:rsidRPr="00356AA1">
        <w:rPr>
          <w:sz w:val="20"/>
        </w:rPr>
        <w:t>sovereign State authority of the G</w:t>
      </w:r>
      <w:r w:rsidRPr="00356AA1">
        <w:rPr>
          <w:sz w:val="20"/>
        </w:rPr>
        <w:t>overnment</w:t>
      </w:r>
      <w:r w:rsidR="004B696D" w:rsidRPr="00356AA1">
        <w:rPr>
          <w:sz w:val="20"/>
        </w:rPr>
        <w:t xml:space="preserve"> of the United Kingdom</w:t>
      </w:r>
      <w:r w:rsidRPr="00356AA1">
        <w:rPr>
          <w:sz w:val="20"/>
        </w:rPr>
        <w:t xml:space="preserve">, </w:t>
      </w:r>
      <w:r w:rsidR="004B696D" w:rsidRPr="00356AA1">
        <w:rPr>
          <w:sz w:val="20"/>
        </w:rPr>
        <w:t>British</w:t>
      </w:r>
      <w:r w:rsidRPr="00356AA1">
        <w:rPr>
          <w:sz w:val="20"/>
        </w:rPr>
        <w:t xml:space="preserve"> institutions are not seen by all stakeholders as neutral arbiters, </w:t>
      </w:r>
      <w:r w:rsidR="004B696D" w:rsidRPr="00356AA1">
        <w:rPr>
          <w:sz w:val="20"/>
        </w:rPr>
        <w:t xml:space="preserve">owing </w:t>
      </w:r>
      <w:r w:rsidRPr="00356AA1">
        <w:rPr>
          <w:sz w:val="20"/>
        </w:rPr>
        <w:t xml:space="preserve">chiefly </w:t>
      </w:r>
      <w:r w:rsidR="004B696D" w:rsidRPr="00356AA1">
        <w:rPr>
          <w:sz w:val="20"/>
        </w:rPr>
        <w:t xml:space="preserve">to </w:t>
      </w:r>
      <w:r w:rsidRPr="00356AA1">
        <w:rPr>
          <w:sz w:val="20"/>
        </w:rPr>
        <w:t xml:space="preserve">the participation </w:t>
      </w:r>
      <w:r w:rsidR="004B696D" w:rsidRPr="00356AA1">
        <w:rPr>
          <w:sz w:val="20"/>
        </w:rPr>
        <w:t xml:space="preserve">of the United Kingdom </w:t>
      </w:r>
      <w:r w:rsidRPr="00356AA1">
        <w:rPr>
          <w:sz w:val="20"/>
        </w:rPr>
        <w:t xml:space="preserve">in </w:t>
      </w:r>
      <w:r w:rsidR="004B696D" w:rsidRPr="00356AA1">
        <w:rPr>
          <w:sz w:val="20"/>
        </w:rPr>
        <w:t xml:space="preserve">certain </w:t>
      </w:r>
      <w:r w:rsidRPr="00356AA1">
        <w:rPr>
          <w:sz w:val="20"/>
        </w:rPr>
        <w:t xml:space="preserve">relevant, and contested, events of the past. </w:t>
      </w:r>
      <w:r w:rsidR="00A2060E">
        <w:rPr>
          <w:sz w:val="20"/>
        </w:rPr>
        <w:t>This</w:t>
      </w:r>
      <w:r w:rsidRPr="00356AA1">
        <w:rPr>
          <w:sz w:val="20"/>
        </w:rPr>
        <w:t xml:space="preserve"> imposes serious constraints on </w:t>
      </w:r>
      <w:r w:rsidR="004B696D" w:rsidRPr="00356AA1">
        <w:rPr>
          <w:sz w:val="20"/>
        </w:rPr>
        <w:t xml:space="preserve">the </w:t>
      </w:r>
      <w:r w:rsidRPr="00356AA1">
        <w:rPr>
          <w:sz w:val="20"/>
        </w:rPr>
        <w:t>way forward that are not always sufficiently recognized. Any future arrangement for truth</w:t>
      </w:r>
      <w:r w:rsidR="004B696D" w:rsidRPr="00356AA1">
        <w:rPr>
          <w:sz w:val="20"/>
        </w:rPr>
        <w:t xml:space="preserve"> </w:t>
      </w:r>
      <w:r w:rsidRPr="00356AA1">
        <w:rPr>
          <w:sz w:val="20"/>
        </w:rPr>
        <w:t xml:space="preserve">disclosure and justice will </w:t>
      </w:r>
      <w:r w:rsidR="004B696D" w:rsidRPr="00356AA1">
        <w:rPr>
          <w:sz w:val="20"/>
        </w:rPr>
        <w:t>have</w:t>
      </w:r>
      <w:r w:rsidRPr="00356AA1">
        <w:rPr>
          <w:sz w:val="20"/>
        </w:rPr>
        <w:t xml:space="preserve"> to </w:t>
      </w:r>
      <w:r w:rsidR="004B696D" w:rsidRPr="00356AA1">
        <w:rPr>
          <w:sz w:val="20"/>
        </w:rPr>
        <w:t>account for</w:t>
      </w:r>
      <w:r w:rsidRPr="00356AA1">
        <w:rPr>
          <w:sz w:val="20"/>
        </w:rPr>
        <w:t xml:space="preserve"> the fact that neither the </w:t>
      </w:r>
      <w:r w:rsidR="004B696D" w:rsidRPr="00356AA1">
        <w:rPr>
          <w:sz w:val="20"/>
        </w:rPr>
        <w:t xml:space="preserve">United Kingdom </w:t>
      </w:r>
      <w:r w:rsidRPr="00356AA1">
        <w:rPr>
          <w:sz w:val="20"/>
        </w:rPr>
        <w:t>nor other stakeholders can assume the position of neutral arbiters of the Troubles</w:t>
      </w:r>
      <w:r w:rsidR="004B696D" w:rsidRPr="00356AA1">
        <w:rPr>
          <w:sz w:val="20"/>
        </w:rPr>
        <w:t>,</w:t>
      </w:r>
      <w:r w:rsidRPr="00356AA1">
        <w:rPr>
          <w:sz w:val="20"/>
        </w:rPr>
        <w:t xml:space="preserve"> and</w:t>
      </w:r>
      <w:r w:rsidR="004B696D" w:rsidRPr="00356AA1">
        <w:rPr>
          <w:sz w:val="20"/>
        </w:rPr>
        <w:t xml:space="preserve"> will</w:t>
      </w:r>
      <w:r w:rsidRPr="00356AA1">
        <w:rPr>
          <w:sz w:val="20"/>
        </w:rPr>
        <w:t xml:space="preserve"> therefore require procedures to guarantee both the reality and </w:t>
      </w:r>
      <w:r w:rsidR="004B696D" w:rsidRPr="00356AA1">
        <w:rPr>
          <w:sz w:val="20"/>
        </w:rPr>
        <w:t>the perception</w:t>
      </w:r>
      <w:r w:rsidRPr="00356AA1">
        <w:rPr>
          <w:sz w:val="20"/>
        </w:rPr>
        <w:t xml:space="preserve"> of independence and imparti</w:t>
      </w:r>
      <w:r w:rsidR="00A25B3E" w:rsidRPr="00356AA1">
        <w:rPr>
          <w:sz w:val="20"/>
        </w:rPr>
        <w:t>ality.</w:t>
      </w:r>
    </w:p>
    <w:p w:rsidR="00FF4737" w:rsidRPr="00356AA1" w:rsidRDefault="00896E64">
      <w:pPr>
        <w:pStyle w:val="SingleTxtG"/>
        <w:rPr>
          <w:sz w:val="20"/>
        </w:rPr>
      </w:pPr>
      <w:r w:rsidRPr="00356AA1">
        <w:rPr>
          <w:sz w:val="20"/>
        </w:rPr>
        <w:t>17.</w:t>
      </w:r>
      <w:r w:rsidRPr="00356AA1">
        <w:rPr>
          <w:sz w:val="20"/>
        </w:rPr>
        <w:tab/>
      </w:r>
      <w:r w:rsidR="00EE1692" w:rsidRPr="00356AA1">
        <w:rPr>
          <w:sz w:val="20"/>
        </w:rPr>
        <w:t>S</w:t>
      </w:r>
      <w:r w:rsidRPr="00356AA1">
        <w:rPr>
          <w:sz w:val="20"/>
        </w:rPr>
        <w:t xml:space="preserve">ignificant activity </w:t>
      </w:r>
      <w:r w:rsidR="00EE1692" w:rsidRPr="00356AA1">
        <w:rPr>
          <w:sz w:val="20"/>
        </w:rPr>
        <w:t xml:space="preserve">has been conducted and advances made </w:t>
      </w:r>
      <w:r w:rsidRPr="00356AA1">
        <w:rPr>
          <w:sz w:val="20"/>
        </w:rPr>
        <w:t>over the years</w:t>
      </w:r>
      <w:r w:rsidR="00EE1692" w:rsidRPr="00356AA1">
        <w:rPr>
          <w:sz w:val="20"/>
        </w:rPr>
        <w:t xml:space="preserve"> </w:t>
      </w:r>
      <w:r w:rsidRPr="00356AA1">
        <w:rPr>
          <w:sz w:val="20"/>
        </w:rPr>
        <w:t>in the domain of institutional reforms and non-recurrence (</w:t>
      </w:r>
      <w:r w:rsidR="00EE1692" w:rsidRPr="00356AA1">
        <w:rPr>
          <w:sz w:val="20"/>
        </w:rPr>
        <w:t xml:space="preserve">such as </w:t>
      </w:r>
      <w:r w:rsidRPr="00356AA1">
        <w:rPr>
          <w:sz w:val="20"/>
        </w:rPr>
        <w:t>policing, demobilization and disarmament of ex-combatants, judicial reform</w:t>
      </w:r>
      <w:r w:rsidR="00EE1692" w:rsidRPr="00356AA1">
        <w:rPr>
          <w:sz w:val="20"/>
        </w:rPr>
        <w:t xml:space="preserve"> and</w:t>
      </w:r>
      <w:r w:rsidRPr="00356AA1">
        <w:rPr>
          <w:sz w:val="20"/>
        </w:rPr>
        <w:t xml:space="preserve"> legal reform).</w:t>
      </w:r>
      <w:r w:rsidR="00781044">
        <w:rPr>
          <w:sz w:val="20"/>
        </w:rPr>
        <w:t xml:space="preserve"> </w:t>
      </w:r>
      <w:r w:rsidR="00EE1692" w:rsidRPr="00356AA1">
        <w:rPr>
          <w:sz w:val="20"/>
        </w:rPr>
        <w:t xml:space="preserve">With regard to </w:t>
      </w:r>
      <w:r w:rsidRPr="00356AA1">
        <w:rPr>
          <w:sz w:val="20"/>
        </w:rPr>
        <w:t xml:space="preserve">truth, justice and reparations, efforts </w:t>
      </w:r>
      <w:r w:rsidR="00EE1692" w:rsidRPr="00356AA1">
        <w:rPr>
          <w:sz w:val="20"/>
        </w:rPr>
        <w:t xml:space="preserve">to date </w:t>
      </w:r>
      <w:r w:rsidRPr="00356AA1">
        <w:rPr>
          <w:sz w:val="20"/>
        </w:rPr>
        <w:t xml:space="preserve">have relied heavily on judicial procedures, leading to inevitable </w:t>
      </w:r>
      <w:r w:rsidR="00EE1692" w:rsidRPr="00356AA1">
        <w:rPr>
          <w:sz w:val="20"/>
        </w:rPr>
        <w:t>“</w:t>
      </w:r>
      <w:r w:rsidRPr="00356AA1">
        <w:rPr>
          <w:sz w:val="20"/>
        </w:rPr>
        <w:t>fragmentation</w:t>
      </w:r>
      <w:r w:rsidR="00EE1692" w:rsidRPr="00356AA1">
        <w:rPr>
          <w:sz w:val="20"/>
        </w:rPr>
        <w:t>”</w:t>
      </w:r>
      <w:r w:rsidRPr="00356AA1">
        <w:rPr>
          <w:sz w:val="20"/>
        </w:rPr>
        <w:t>. Judicial procedures are case-based and primarily about individual responsibility.</w:t>
      </w:r>
      <w:r w:rsidR="00781044">
        <w:rPr>
          <w:sz w:val="20"/>
        </w:rPr>
        <w:t xml:space="preserve"> </w:t>
      </w:r>
      <w:r w:rsidRPr="00356AA1">
        <w:rPr>
          <w:sz w:val="20"/>
        </w:rPr>
        <w:t>Other measures, including the work of the Historical Enquir</w:t>
      </w:r>
      <w:r w:rsidR="00EE1692" w:rsidRPr="00356AA1">
        <w:rPr>
          <w:sz w:val="20"/>
        </w:rPr>
        <w:t>i</w:t>
      </w:r>
      <w:r w:rsidRPr="00356AA1">
        <w:rPr>
          <w:sz w:val="20"/>
        </w:rPr>
        <w:t>es Team (</w:t>
      </w:r>
      <w:r w:rsidR="00163CA4">
        <w:rPr>
          <w:sz w:val="20"/>
        </w:rPr>
        <w:t>see para. 29-31 below</w:t>
      </w:r>
      <w:r w:rsidRPr="00356AA1">
        <w:rPr>
          <w:sz w:val="20"/>
        </w:rPr>
        <w:t>), have tracked this logic. Four large</w:t>
      </w:r>
      <w:r w:rsidR="00EE1692" w:rsidRPr="00356AA1">
        <w:rPr>
          <w:sz w:val="20"/>
        </w:rPr>
        <w:t>,</w:t>
      </w:r>
      <w:r w:rsidRPr="00356AA1">
        <w:rPr>
          <w:sz w:val="20"/>
        </w:rPr>
        <w:t xml:space="preserve"> important public inquiries have been event-based, and have had the same effect. Mechanisms designed to </w:t>
      </w:r>
      <w:r w:rsidR="00EE1692" w:rsidRPr="00356AA1">
        <w:rPr>
          <w:sz w:val="20"/>
        </w:rPr>
        <w:t>assess</w:t>
      </w:r>
      <w:r w:rsidRPr="00356AA1">
        <w:rPr>
          <w:sz w:val="20"/>
        </w:rPr>
        <w:t xml:space="preserve"> the structural and systemic nature of violations have received scant attention. The violation of individual rights </w:t>
      </w:r>
      <w:r w:rsidR="00EE1692" w:rsidRPr="00356AA1">
        <w:rPr>
          <w:sz w:val="20"/>
        </w:rPr>
        <w:t>was</w:t>
      </w:r>
      <w:r w:rsidRPr="00356AA1">
        <w:rPr>
          <w:sz w:val="20"/>
        </w:rPr>
        <w:t xml:space="preserve"> endemic to the Troubles, and </w:t>
      </w:r>
      <w:r w:rsidR="00F461F7" w:rsidRPr="00356AA1">
        <w:rPr>
          <w:sz w:val="20"/>
        </w:rPr>
        <w:t>should</w:t>
      </w:r>
      <w:r w:rsidRPr="00356AA1">
        <w:rPr>
          <w:sz w:val="20"/>
        </w:rPr>
        <w:t xml:space="preserve"> be redressed</w:t>
      </w:r>
      <w:r w:rsidR="00F461F7" w:rsidRPr="00356AA1">
        <w:rPr>
          <w:sz w:val="20"/>
        </w:rPr>
        <w:t>;</w:t>
      </w:r>
      <w:r w:rsidRPr="00356AA1">
        <w:rPr>
          <w:sz w:val="20"/>
        </w:rPr>
        <w:t xml:space="preserve"> the Troubles were not</w:t>
      </w:r>
      <w:r w:rsidR="00F461F7" w:rsidRPr="00356AA1">
        <w:rPr>
          <w:sz w:val="20"/>
        </w:rPr>
        <w:t>, however,</w:t>
      </w:r>
      <w:r w:rsidRPr="00356AA1">
        <w:rPr>
          <w:sz w:val="20"/>
        </w:rPr>
        <w:t xml:space="preserve"> simply the aggregate of isolated events. Patterns, structures, institutions, organizations, chains of command, </w:t>
      </w:r>
      <w:r w:rsidR="00F461F7" w:rsidRPr="00356AA1">
        <w:rPr>
          <w:sz w:val="20"/>
        </w:rPr>
        <w:t xml:space="preserve">and </w:t>
      </w:r>
      <w:r w:rsidRPr="00356AA1">
        <w:rPr>
          <w:sz w:val="20"/>
        </w:rPr>
        <w:t xml:space="preserve">policies are </w:t>
      </w:r>
      <w:r w:rsidR="00F461F7" w:rsidRPr="00356AA1">
        <w:rPr>
          <w:sz w:val="20"/>
        </w:rPr>
        <w:t xml:space="preserve">all </w:t>
      </w:r>
      <w:r w:rsidRPr="00356AA1">
        <w:rPr>
          <w:sz w:val="20"/>
        </w:rPr>
        <w:t xml:space="preserve">essential </w:t>
      </w:r>
      <w:r w:rsidR="00F461F7" w:rsidRPr="00356AA1">
        <w:rPr>
          <w:sz w:val="20"/>
        </w:rPr>
        <w:t xml:space="preserve">components </w:t>
      </w:r>
      <w:r w:rsidRPr="00356AA1">
        <w:rPr>
          <w:sz w:val="20"/>
        </w:rPr>
        <w:t xml:space="preserve">of </w:t>
      </w:r>
      <w:r w:rsidR="00F461F7" w:rsidRPr="00356AA1">
        <w:rPr>
          <w:sz w:val="20"/>
        </w:rPr>
        <w:t>the events</w:t>
      </w:r>
      <w:r w:rsidRPr="00356AA1">
        <w:rPr>
          <w:sz w:val="20"/>
        </w:rPr>
        <w:t xml:space="preserve"> that should be uncovered and explored</w:t>
      </w:r>
      <w:r w:rsidR="00F461F7" w:rsidRPr="00356AA1">
        <w:rPr>
          <w:sz w:val="20"/>
        </w:rPr>
        <w:t>;</w:t>
      </w:r>
      <w:r w:rsidRPr="00356AA1">
        <w:rPr>
          <w:sz w:val="20"/>
        </w:rPr>
        <w:t> </w:t>
      </w:r>
      <w:r w:rsidR="00F461F7" w:rsidRPr="00356AA1">
        <w:rPr>
          <w:sz w:val="20"/>
        </w:rPr>
        <w:t>i</w:t>
      </w:r>
      <w:r w:rsidRPr="00356AA1">
        <w:rPr>
          <w:sz w:val="20"/>
        </w:rPr>
        <w:t xml:space="preserve">t is </w:t>
      </w:r>
      <w:r w:rsidR="00F461F7" w:rsidRPr="00356AA1">
        <w:rPr>
          <w:sz w:val="20"/>
        </w:rPr>
        <w:t>therefore vital</w:t>
      </w:r>
      <w:r w:rsidRPr="00356AA1">
        <w:rPr>
          <w:sz w:val="20"/>
        </w:rPr>
        <w:t xml:space="preserve"> </w:t>
      </w:r>
      <w:r w:rsidR="00F461F7" w:rsidRPr="00356AA1">
        <w:rPr>
          <w:sz w:val="20"/>
        </w:rPr>
        <w:t xml:space="preserve">that </w:t>
      </w:r>
      <w:r w:rsidRPr="00356AA1">
        <w:rPr>
          <w:sz w:val="20"/>
        </w:rPr>
        <w:t xml:space="preserve">more attention </w:t>
      </w:r>
      <w:r w:rsidR="00F461F7" w:rsidRPr="00356AA1">
        <w:rPr>
          <w:sz w:val="20"/>
        </w:rPr>
        <w:t xml:space="preserve">be paid </w:t>
      </w:r>
      <w:r w:rsidRPr="00356AA1">
        <w:rPr>
          <w:sz w:val="20"/>
        </w:rPr>
        <w:t xml:space="preserve">to mechanisms that will </w:t>
      </w:r>
      <w:r w:rsidR="00F461F7" w:rsidRPr="00356AA1">
        <w:rPr>
          <w:sz w:val="20"/>
        </w:rPr>
        <w:t>assess</w:t>
      </w:r>
      <w:r w:rsidRPr="00356AA1">
        <w:rPr>
          <w:sz w:val="20"/>
        </w:rPr>
        <w:t xml:space="preserve"> this comprehensive dimension as well. </w:t>
      </w:r>
      <w:r w:rsidR="00084771">
        <w:rPr>
          <w:sz w:val="20"/>
        </w:rPr>
        <w:t>T</w:t>
      </w:r>
      <w:r w:rsidRPr="00356AA1">
        <w:rPr>
          <w:sz w:val="20"/>
        </w:rPr>
        <w:t>he resolution of individual cases, narrowly conceived, while important, does not exhaust the work of truth and justice initiatives.</w:t>
      </w:r>
      <w:r w:rsidR="00781044">
        <w:rPr>
          <w:sz w:val="20"/>
        </w:rPr>
        <w:t xml:space="preserve"> </w:t>
      </w:r>
      <w:r w:rsidRPr="00356AA1">
        <w:rPr>
          <w:sz w:val="20"/>
        </w:rPr>
        <w:t xml:space="preserve">Indeed, trustworthy institutions and the rule of law </w:t>
      </w:r>
      <w:r w:rsidR="00F461F7" w:rsidRPr="00356AA1">
        <w:rPr>
          <w:sz w:val="20"/>
        </w:rPr>
        <w:t xml:space="preserve">largely </w:t>
      </w:r>
      <w:r w:rsidRPr="00356AA1">
        <w:rPr>
          <w:sz w:val="20"/>
        </w:rPr>
        <w:t>depend</w:t>
      </w:r>
      <w:r w:rsidR="00810990" w:rsidRPr="00356AA1">
        <w:rPr>
          <w:sz w:val="20"/>
        </w:rPr>
        <w:t xml:space="preserve"> on clarity </w:t>
      </w:r>
      <w:r w:rsidR="00F461F7" w:rsidRPr="00356AA1">
        <w:rPr>
          <w:sz w:val="20"/>
        </w:rPr>
        <w:t xml:space="preserve">in </w:t>
      </w:r>
      <w:r w:rsidR="00810990" w:rsidRPr="00356AA1">
        <w:rPr>
          <w:sz w:val="20"/>
        </w:rPr>
        <w:t>this</w:t>
      </w:r>
      <w:r w:rsidR="00F461F7" w:rsidRPr="00356AA1">
        <w:rPr>
          <w:sz w:val="20"/>
        </w:rPr>
        <w:t xml:space="preserve"> regard</w:t>
      </w:r>
      <w:r w:rsidR="00810990" w:rsidRPr="00356AA1">
        <w:rPr>
          <w:sz w:val="20"/>
        </w:rPr>
        <w:t>.</w:t>
      </w:r>
    </w:p>
    <w:p w:rsidR="00FF4737" w:rsidRPr="00356AA1" w:rsidRDefault="00352CEC">
      <w:pPr>
        <w:pStyle w:val="SingleTxtG"/>
        <w:rPr>
          <w:sz w:val="20"/>
          <w:shd w:val="clear" w:color="auto" w:fill="FFFFFF"/>
        </w:rPr>
      </w:pPr>
      <w:r w:rsidRPr="00356AA1">
        <w:rPr>
          <w:sz w:val="20"/>
          <w:shd w:val="clear" w:color="auto" w:fill="FFFFFF"/>
        </w:rPr>
        <w:lastRenderedPageBreak/>
        <w:t>18.</w:t>
      </w:r>
      <w:r w:rsidRPr="00356AA1">
        <w:rPr>
          <w:sz w:val="20"/>
          <w:shd w:val="clear" w:color="auto" w:fill="FFFFFF"/>
        </w:rPr>
        <w:tab/>
      </w:r>
      <w:r w:rsidR="004F7AF1" w:rsidRPr="00356AA1">
        <w:rPr>
          <w:sz w:val="20"/>
          <w:shd w:val="clear" w:color="auto" w:fill="FFFFFF"/>
        </w:rPr>
        <w:t>The responses given by g</w:t>
      </w:r>
      <w:r w:rsidR="00810990" w:rsidRPr="00356AA1">
        <w:rPr>
          <w:sz w:val="20"/>
          <w:shd w:val="clear" w:color="auto" w:fill="FFFFFF"/>
        </w:rPr>
        <w:t xml:space="preserve">overnment institutions and civil society </w:t>
      </w:r>
      <w:r w:rsidR="004F7AF1" w:rsidRPr="00356AA1">
        <w:rPr>
          <w:sz w:val="20"/>
          <w:shd w:val="clear" w:color="auto" w:fill="FFFFFF"/>
        </w:rPr>
        <w:t xml:space="preserve">organizations </w:t>
      </w:r>
      <w:r w:rsidR="00810990" w:rsidRPr="00356AA1">
        <w:rPr>
          <w:sz w:val="20"/>
          <w:shd w:val="clear" w:color="auto" w:fill="FFFFFF"/>
        </w:rPr>
        <w:t>have focused on death</w:t>
      </w:r>
      <w:r w:rsidR="00C16979" w:rsidRPr="00356AA1">
        <w:rPr>
          <w:sz w:val="20"/>
          <w:shd w:val="clear" w:color="auto" w:fill="FFFFFF"/>
        </w:rPr>
        <w:t>s</w:t>
      </w:r>
      <w:r w:rsidR="00810990" w:rsidRPr="00356AA1">
        <w:rPr>
          <w:sz w:val="20"/>
          <w:shd w:val="clear" w:color="auto" w:fill="FFFFFF"/>
        </w:rPr>
        <w:t xml:space="preserve">, despite instances of other violations, including </w:t>
      </w:r>
      <w:r w:rsidR="004F7AF1" w:rsidRPr="00356AA1">
        <w:rPr>
          <w:sz w:val="20"/>
          <w:shd w:val="clear" w:color="auto" w:fill="FFFFFF"/>
        </w:rPr>
        <w:t xml:space="preserve">cases of </w:t>
      </w:r>
      <w:r w:rsidR="00810990" w:rsidRPr="00356AA1">
        <w:rPr>
          <w:sz w:val="20"/>
          <w:shd w:val="clear" w:color="auto" w:fill="FFFFFF"/>
        </w:rPr>
        <w:t xml:space="preserve">illegal detention, severe bodily injuries, and torture, </w:t>
      </w:r>
      <w:r w:rsidR="00A2060E">
        <w:rPr>
          <w:sz w:val="20"/>
          <w:shd w:val="clear" w:color="auto" w:fill="FFFFFF"/>
        </w:rPr>
        <w:t>which</w:t>
      </w:r>
      <w:r w:rsidR="004F7AF1" w:rsidRPr="00356AA1">
        <w:rPr>
          <w:sz w:val="20"/>
          <w:shd w:val="clear" w:color="auto" w:fill="FFFFFF"/>
        </w:rPr>
        <w:t xml:space="preserve"> </w:t>
      </w:r>
      <w:r w:rsidR="00810990" w:rsidRPr="00356AA1">
        <w:rPr>
          <w:sz w:val="20"/>
          <w:shd w:val="clear" w:color="auto" w:fill="FFFFFF"/>
        </w:rPr>
        <w:t xml:space="preserve">far outnumber </w:t>
      </w:r>
      <w:r w:rsidR="004F7AF1" w:rsidRPr="00356AA1">
        <w:rPr>
          <w:sz w:val="20"/>
          <w:shd w:val="clear" w:color="auto" w:fill="FFFFFF"/>
        </w:rPr>
        <w:t xml:space="preserve">the actual </w:t>
      </w:r>
      <w:r w:rsidR="00810990" w:rsidRPr="00356AA1">
        <w:rPr>
          <w:sz w:val="20"/>
          <w:shd w:val="clear" w:color="auto" w:fill="FFFFFF"/>
        </w:rPr>
        <w:t>cases of death. These cases deserve urgent attention</w:t>
      </w:r>
      <w:r w:rsidR="004F7AF1" w:rsidRPr="00356AA1">
        <w:rPr>
          <w:sz w:val="20"/>
          <w:shd w:val="clear" w:color="auto" w:fill="FFFFFF"/>
        </w:rPr>
        <w:t>,</w:t>
      </w:r>
      <w:r w:rsidR="00810990" w:rsidRPr="00356AA1">
        <w:rPr>
          <w:sz w:val="20"/>
          <w:shd w:val="clear" w:color="auto" w:fill="FFFFFF"/>
        </w:rPr>
        <w:t xml:space="preserve"> as victims have </w:t>
      </w:r>
      <w:r w:rsidR="004F7AF1" w:rsidRPr="00356AA1">
        <w:rPr>
          <w:sz w:val="20"/>
          <w:shd w:val="clear" w:color="auto" w:fill="FFFFFF"/>
        </w:rPr>
        <w:t xml:space="preserve">a </w:t>
      </w:r>
      <w:r w:rsidR="00810990" w:rsidRPr="00356AA1">
        <w:rPr>
          <w:sz w:val="20"/>
          <w:shd w:val="clear" w:color="auto" w:fill="FFFFFF"/>
        </w:rPr>
        <w:t xml:space="preserve">right to comprehensive redress and because some of them are in situations of extreme vulnerability. </w:t>
      </w:r>
      <w:r w:rsidR="004F7AF1" w:rsidRPr="00356AA1">
        <w:rPr>
          <w:sz w:val="20"/>
          <w:shd w:val="clear" w:color="auto" w:fill="FFFFFF"/>
        </w:rPr>
        <w:t>C</w:t>
      </w:r>
      <w:r w:rsidR="00810990" w:rsidRPr="00356AA1">
        <w:rPr>
          <w:sz w:val="20"/>
          <w:shd w:val="clear" w:color="auto" w:fill="FFFFFF"/>
        </w:rPr>
        <w:t xml:space="preserve">laims </w:t>
      </w:r>
      <w:r w:rsidR="004F7AF1" w:rsidRPr="00356AA1">
        <w:rPr>
          <w:sz w:val="20"/>
          <w:shd w:val="clear" w:color="auto" w:fill="FFFFFF"/>
        </w:rPr>
        <w:t xml:space="preserve">left without redress </w:t>
      </w:r>
      <w:r w:rsidR="00810990" w:rsidRPr="00356AA1">
        <w:rPr>
          <w:sz w:val="20"/>
          <w:shd w:val="clear" w:color="auto" w:fill="FFFFFF"/>
        </w:rPr>
        <w:t xml:space="preserve">have a large impact on the credibility of institutions. Furthermore, the gender-related dimension of violations and abuses </w:t>
      </w:r>
      <w:r w:rsidR="004F7AF1" w:rsidRPr="00356AA1">
        <w:rPr>
          <w:sz w:val="20"/>
          <w:shd w:val="clear" w:color="auto" w:fill="FFFFFF"/>
        </w:rPr>
        <w:t xml:space="preserve">committed during </w:t>
      </w:r>
      <w:r w:rsidR="00810990" w:rsidRPr="00356AA1">
        <w:rPr>
          <w:sz w:val="20"/>
          <w:shd w:val="clear" w:color="auto" w:fill="FFFFFF"/>
        </w:rPr>
        <w:t xml:space="preserve">the Troubles’ – particularly the heavy burden, disproportionately shouldered by women, </w:t>
      </w:r>
      <w:r w:rsidR="004F7AF1" w:rsidRPr="00356AA1">
        <w:rPr>
          <w:sz w:val="20"/>
          <w:shd w:val="clear" w:color="auto" w:fill="FFFFFF"/>
        </w:rPr>
        <w:t>of</w:t>
      </w:r>
      <w:r w:rsidR="00810990" w:rsidRPr="00356AA1">
        <w:rPr>
          <w:sz w:val="20"/>
          <w:shd w:val="clear" w:color="auto" w:fill="FFFFFF"/>
        </w:rPr>
        <w:t xml:space="preserve"> caring for traumatized and/or disabled family members </w:t>
      </w:r>
      <w:r w:rsidR="004F7AF1" w:rsidRPr="00356AA1">
        <w:rPr>
          <w:sz w:val="20"/>
          <w:shd w:val="clear" w:color="auto" w:fill="FFFFFF"/>
        </w:rPr>
        <w:t xml:space="preserve">– </w:t>
      </w:r>
      <w:r w:rsidR="00810990" w:rsidRPr="00356AA1">
        <w:rPr>
          <w:sz w:val="20"/>
          <w:shd w:val="clear" w:color="auto" w:fill="FFFFFF"/>
        </w:rPr>
        <w:t xml:space="preserve">deserves sustained, thorough analysis and integration into policymaking. </w:t>
      </w:r>
    </w:p>
    <w:p w:rsidR="00FF4737" w:rsidRPr="00356AA1" w:rsidRDefault="00810990">
      <w:pPr>
        <w:pStyle w:val="SingleTxtG"/>
        <w:rPr>
          <w:sz w:val="20"/>
          <w:lang w:eastAsia="en-GB"/>
        </w:rPr>
      </w:pPr>
      <w:r w:rsidRPr="00356AA1">
        <w:rPr>
          <w:sz w:val="20"/>
          <w:shd w:val="clear" w:color="auto" w:fill="FFFFFF"/>
        </w:rPr>
        <w:t>19.</w:t>
      </w:r>
      <w:r w:rsidRPr="00356AA1">
        <w:rPr>
          <w:sz w:val="20"/>
          <w:shd w:val="clear" w:color="auto" w:fill="FFFFFF"/>
        </w:rPr>
        <w:tab/>
      </w:r>
      <w:r w:rsidR="004F7AF1" w:rsidRPr="00356AA1">
        <w:rPr>
          <w:sz w:val="20"/>
          <w:shd w:val="clear" w:color="auto" w:fill="FFFFFF"/>
        </w:rPr>
        <w:t>Lastly</w:t>
      </w:r>
      <w:r w:rsidRPr="00356AA1">
        <w:rPr>
          <w:sz w:val="20"/>
          <w:shd w:val="clear" w:color="auto" w:fill="FFFFFF"/>
        </w:rPr>
        <w:t>, i</w:t>
      </w:r>
      <w:r w:rsidRPr="00356AA1">
        <w:rPr>
          <w:sz w:val="20"/>
          <w:lang w:eastAsia="en-GB"/>
        </w:rPr>
        <w:t xml:space="preserve">t is well understood that the legacy of the past continues to cast a very dark shadow over the present and future. The impact of the Troubles still weighs not </w:t>
      </w:r>
      <w:r w:rsidR="0062220A" w:rsidRPr="00356AA1">
        <w:rPr>
          <w:sz w:val="20"/>
          <w:lang w:eastAsia="en-GB"/>
        </w:rPr>
        <w:t xml:space="preserve">only </w:t>
      </w:r>
      <w:r w:rsidRPr="00356AA1">
        <w:rPr>
          <w:sz w:val="20"/>
          <w:lang w:eastAsia="en-GB"/>
        </w:rPr>
        <w:t xml:space="preserve">on individuals but on society </w:t>
      </w:r>
      <w:r w:rsidR="0062220A" w:rsidRPr="00356AA1">
        <w:rPr>
          <w:sz w:val="20"/>
          <w:lang w:eastAsia="en-GB"/>
        </w:rPr>
        <w:t xml:space="preserve">in </w:t>
      </w:r>
      <w:r w:rsidRPr="00356AA1">
        <w:rPr>
          <w:sz w:val="20"/>
          <w:lang w:eastAsia="en-GB"/>
        </w:rPr>
        <w:t>general</w:t>
      </w:r>
      <w:r w:rsidR="0081168E" w:rsidRPr="00356AA1">
        <w:rPr>
          <w:sz w:val="20"/>
          <w:lang w:eastAsia="en-GB"/>
        </w:rPr>
        <w:t>;</w:t>
      </w:r>
      <w:r w:rsidRPr="00356AA1">
        <w:rPr>
          <w:sz w:val="20"/>
          <w:lang w:eastAsia="en-GB"/>
        </w:rPr>
        <w:t xml:space="preserve"> </w:t>
      </w:r>
      <w:r w:rsidR="0081168E" w:rsidRPr="00356AA1">
        <w:rPr>
          <w:sz w:val="20"/>
          <w:lang w:eastAsia="en-GB"/>
        </w:rPr>
        <w:t>h</w:t>
      </w:r>
      <w:r w:rsidRPr="00356AA1">
        <w:rPr>
          <w:sz w:val="20"/>
          <w:lang w:eastAsia="en-GB"/>
        </w:rPr>
        <w:t xml:space="preserve">owever, </w:t>
      </w:r>
      <w:r w:rsidR="0081168E" w:rsidRPr="00356AA1">
        <w:rPr>
          <w:sz w:val="20"/>
          <w:lang w:eastAsia="en-GB"/>
        </w:rPr>
        <w:t xml:space="preserve">following </w:t>
      </w:r>
      <w:r w:rsidR="001E1031">
        <w:rPr>
          <w:sz w:val="20"/>
          <w:lang w:eastAsia="en-GB"/>
        </w:rPr>
        <w:t xml:space="preserve">the </w:t>
      </w:r>
      <w:r w:rsidRPr="00356AA1">
        <w:rPr>
          <w:sz w:val="20"/>
          <w:lang w:eastAsia="en-GB"/>
        </w:rPr>
        <w:t xml:space="preserve">failure to reach </w:t>
      </w:r>
      <w:r w:rsidR="001E1031">
        <w:rPr>
          <w:sz w:val="20"/>
          <w:lang w:eastAsia="en-GB"/>
        </w:rPr>
        <w:t xml:space="preserve">any </w:t>
      </w:r>
      <w:r w:rsidRPr="00356AA1">
        <w:rPr>
          <w:sz w:val="20"/>
          <w:lang w:eastAsia="en-GB"/>
        </w:rPr>
        <w:t xml:space="preserve">agreement on legacy issues in November 2015, victims, some of whom have waited </w:t>
      </w:r>
      <w:r w:rsidR="0081168E" w:rsidRPr="00356AA1">
        <w:rPr>
          <w:sz w:val="20"/>
          <w:lang w:eastAsia="en-GB"/>
        </w:rPr>
        <w:t>more than</w:t>
      </w:r>
      <w:r w:rsidRPr="00356AA1">
        <w:rPr>
          <w:sz w:val="20"/>
          <w:lang w:eastAsia="en-GB"/>
        </w:rPr>
        <w:t xml:space="preserve"> 40 years for redress, are again asked to wait. The credibility of institutions and of the </w:t>
      </w:r>
      <w:r w:rsidR="0081168E" w:rsidRPr="00356AA1">
        <w:rPr>
          <w:sz w:val="20"/>
          <w:lang w:eastAsia="en-GB"/>
        </w:rPr>
        <w:t xml:space="preserve">commitments made by the </w:t>
      </w:r>
      <w:r w:rsidRPr="00356AA1">
        <w:rPr>
          <w:sz w:val="20"/>
          <w:lang w:eastAsia="en-GB"/>
        </w:rPr>
        <w:t xml:space="preserve">authorities is at stake. Since the </w:t>
      </w:r>
      <w:r w:rsidR="0081168E" w:rsidRPr="00356AA1">
        <w:rPr>
          <w:sz w:val="20"/>
          <w:lang w:eastAsia="en-GB"/>
        </w:rPr>
        <w:t xml:space="preserve">visit of the </w:t>
      </w:r>
      <w:r w:rsidRPr="00356AA1">
        <w:rPr>
          <w:sz w:val="20"/>
          <w:lang w:eastAsia="en-GB"/>
        </w:rPr>
        <w:t xml:space="preserve">Special Rapporteur, some </w:t>
      </w:r>
      <w:r w:rsidR="0081168E" w:rsidRPr="00356AA1">
        <w:rPr>
          <w:sz w:val="20"/>
          <w:lang w:eastAsia="en-GB"/>
        </w:rPr>
        <w:t>stakeholders</w:t>
      </w:r>
      <w:r w:rsidRPr="00356AA1">
        <w:rPr>
          <w:sz w:val="20"/>
          <w:lang w:eastAsia="en-GB"/>
        </w:rPr>
        <w:t xml:space="preserve">, including the Lord Chief Justice, </w:t>
      </w:r>
      <w:r w:rsidR="0081168E" w:rsidRPr="00356AA1">
        <w:rPr>
          <w:sz w:val="20"/>
          <w:lang w:eastAsia="en-GB"/>
        </w:rPr>
        <w:t xml:space="preserve">have </w:t>
      </w:r>
      <w:r w:rsidRPr="00356AA1">
        <w:rPr>
          <w:sz w:val="20"/>
          <w:lang w:eastAsia="en-GB"/>
        </w:rPr>
        <w:t>explor</w:t>
      </w:r>
      <w:r w:rsidR="0081168E" w:rsidRPr="00356AA1">
        <w:rPr>
          <w:sz w:val="20"/>
          <w:lang w:eastAsia="en-GB"/>
        </w:rPr>
        <w:t>ed</w:t>
      </w:r>
      <w:r w:rsidRPr="00356AA1">
        <w:rPr>
          <w:sz w:val="20"/>
          <w:lang w:eastAsia="en-GB"/>
        </w:rPr>
        <w:t xml:space="preserve"> innovative ways to work more proactively on legacy cases. Creative reflection and action by more stakeholders should be encouraged.</w:t>
      </w:r>
    </w:p>
    <w:p w:rsidR="00FF4737" w:rsidRPr="00FF4737" w:rsidRDefault="00ED1D8C" w:rsidP="00356AA1">
      <w:pPr>
        <w:pStyle w:val="HChG"/>
        <w:spacing w:line="240" w:lineRule="atLeast"/>
        <w:rPr>
          <w:lang w:eastAsia="en-GB"/>
        </w:rPr>
      </w:pPr>
      <w:r w:rsidRPr="00FF4737">
        <w:rPr>
          <w:lang w:eastAsia="en-GB"/>
        </w:rPr>
        <w:tab/>
        <w:t>IV.</w:t>
      </w:r>
      <w:r w:rsidRPr="00FF4737">
        <w:rPr>
          <w:lang w:eastAsia="en-GB"/>
        </w:rPr>
        <w:tab/>
        <w:t>Truth</w:t>
      </w:r>
    </w:p>
    <w:p w:rsidR="00FF4737" w:rsidRPr="00356AA1" w:rsidRDefault="00352CEC">
      <w:pPr>
        <w:pStyle w:val="SingleTxtG"/>
        <w:rPr>
          <w:rFonts w:cs="Arial"/>
          <w:b/>
          <w:bCs/>
          <w:iCs/>
          <w:color w:val="000000"/>
          <w:sz w:val="20"/>
          <w:lang w:eastAsia="en-GB"/>
        </w:rPr>
      </w:pPr>
      <w:r w:rsidRPr="00356AA1">
        <w:rPr>
          <w:sz w:val="20"/>
        </w:rPr>
        <w:t>20.</w:t>
      </w:r>
      <w:r w:rsidRPr="00356AA1">
        <w:rPr>
          <w:sz w:val="20"/>
        </w:rPr>
        <w:tab/>
        <w:t xml:space="preserve">Distinctions between truth and justice initiatives are more often than not overdrawn. Judicial investigations enable both judgments of culpability and (imperfect) truth-telling; equally, most truth commissions have contributed </w:t>
      </w:r>
      <w:r w:rsidR="00B2507E" w:rsidRPr="00356AA1">
        <w:rPr>
          <w:sz w:val="20"/>
        </w:rPr>
        <w:t xml:space="preserve">substantially </w:t>
      </w:r>
      <w:r w:rsidRPr="00356AA1">
        <w:rPr>
          <w:sz w:val="20"/>
        </w:rPr>
        <w:t xml:space="preserve">to judicial processes. In </w:t>
      </w:r>
      <w:r w:rsidR="0081168E" w:rsidRPr="00356AA1">
        <w:rPr>
          <w:sz w:val="20"/>
        </w:rPr>
        <w:t>Northern Ireland</w:t>
      </w:r>
      <w:r w:rsidRPr="00356AA1">
        <w:rPr>
          <w:sz w:val="20"/>
        </w:rPr>
        <w:t>, “the criminal justice system has become the space wherein victims and survivors sought ‘truth’ and contested versions of the past have been examined.”</w:t>
      </w:r>
      <w:r w:rsidRPr="007950F8">
        <w:rPr>
          <w:rStyle w:val="FootnoteReference"/>
          <w:szCs w:val="18"/>
        </w:rPr>
        <w:footnoteReference w:id="3"/>
      </w:r>
      <w:r w:rsidR="00781044">
        <w:rPr>
          <w:sz w:val="20"/>
        </w:rPr>
        <w:t xml:space="preserve"> </w:t>
      </w:r>
      <w:r w:rsidRPr="00356AA1">
        <w:rPr>
          <w:sz w:val="20"/>
        </w:rPr>
        <w:t xml:space="preserve">Many of the measures discussed here could have been placed in the section on </w:t>
      </w:r>
      <w:r w:rsidR="00AF6ADD">
        <w:rPr>
          <w:sz w:val="20"/>
        </w:rPr>
        <w:t xml:space="preserve">criminal </w:t>
      </w:r>
      <w:r w:rsidRPr="00356AA1">
        <w:rPr>
          <w:sz w:val="20"/>
        </w:rPr>
        <w:t>justice</w:t>
      </w:r>
      <w:r w:rsidR="00AF6ADD">
        <w:rPr>
          <w:sz w:val="20"/>
        </w:rPr>
        <w:t xml:space="preserve"> (chap. V)</w:t>
      </w:r>
      <w:r w:rsidR="00A2060E">
        <w:rPr>
          <w:sz w:val="20"/>
        </w:rPr>
        <w:t>.</w:t>
      </w:r>
      <w:r w:rsidRPr="00356AA1">
        <w:rPr>
          <w:sz w:val="20"/>
        </w:rPr>
        <w:t xml:space="preserve"> </w:t>
      </w:r>
      <w:r w:rsidR="00BE7BAF" w:rsidRPr="00356AA1">
        <w:rPr>
          <w:sz w:val="20"/>
        </w:rPr>
        <w:t xml:space="preserve">Given that </w:t>
      </w:r>
      <w:r w:rsidRPr="00356AA1">
        <w:rPr>
          <w:sz w:val="20"/>
        </w:rPr>
        <w:t>they have not</w:t>
      </w:r>
      <w:r w:rsidR="00BE7BAF" w:rsidRPr="00356AA1">
        <w:rPr>
          <w:sz w:val="20"/>
        </w:rPr>
        <w:t>, however,</w:t>
      </w:r>
      <w:r w:rsidRPr="00356AA1">
        <w:rPr>
          <w:sz w:val="20"/>
        </w:rPr>
        <w:t xml:space="preserve"> led to prosecutorial successes</w:t>
      </w:r>
      <w:r w:rsidR="00BE7BAF" w:rsidRPr="00356AA1">
        <w:rPr>
          <w:sz w:val="20"/>
        </w:rPr>
        <w:t xml:space="preserve"> – </w:t>
      </w:r>
      <w:r w:rsidR="00A2060E">
        <w:rPr>
          <w:sz w:val="20"/>
        </w:rPr>
        <w:t xml:space="preserve">for example, </w:t>
      </w:r>
      <w:r w:rsidR="00BE7BAF" w:rsidRPr="00356AA1">
        <w:rPr>
          <w:sz w:val="20"/>
        </w:rPr>
        <w:t>only three of the 1,800 cases reviewed by the Historical Enquiries Team resulted in convictions –</w:t>
      </w:r>
      <w:r w:rsidRPr="00356AA1">
        <w:rPr>
          <w:sz w:val="20"/>
        </w:rPr>
        <w:t xml:space="preserve"> they resemble more truth-seeking initiatives than justice measures.</w:t>
      </w:r>
      <w:r w:rsidR="00781044">
        <w:rPr>
          <w:sz w:val="20"/>
        </w:rPr>
        <w:t xml:space="preserve"> </w:t>
      </w:r>
    </w:p>
    <w:p w:rsidR="00FF4737" w:rsidRPr="00FF4737" w:rsidRDefault="00BB1540" w:rsidP="00356AA1">
      <w:pPr>
        <w:pStyle w:val="H1G"/>
        <w:spacing w:line="240" w:lineRule="atLeast"/>
      </w:pPr>
      <w:r w:rsidRPr="00FF4737">
        <w:tab/>
        <w:t>A.</w:t>
      </w:r>
      <w:r w:rsidRPr="00FF4737">
        <w:tab/>
        <w:t>Main existing mechanisms</w:t>
      </w:r>
    </w:p>
    <w:p w:rsidR="00FF4737" w:rsidRPr="00FF4737" w:rsidRDefault="00BB1540">
      <w:pPr>
        <w:pStyle w:val="SingleTxtG"/>
        <w:rPr>
          <w:lang w:eastAsia="en-GB"/>
        </w:rPr>
      </w:pPr>
      <w:r w:rsidRPr="00356AA1">
        <w:rPr>
          <w:sz w:val="20"/>
          <w:lang w:eastAsia="en-GB"/>
        </w:rPr>
        <w:t>21.</w:t>
      </w:r>
      <w:r w:rsidRPr="00356AA1">
        <w:rPr>
          <w:sz w:val="20"/>
          <w:lang w:eastAsia="en-GB"/>
        </w:rPr>
        <w:tab/>
        <w:t xml:space="preserve">While the </w:t>
      </w:r>
      <w:r w:rsidR="0081168E" w:rsidRPr="00356AA1">
        <w:rPr>
          <w:sz w:val="20"/>
          <w:lang w:eastAsia="en-GB"/>
        </w:rPr>
        <w:t>Good Friday</w:t>
      </w:r>
      <w:r w:rsidR="00800125">
        <w:rPr>
          <w:sz w:val="20"/>
          <w:lang w:eastAsia="en-GB"/>
        </w:rPr>
        <w:t xml:space="preserve"> </w:t>
      </w:r>
      <w:r w:rsidRPr="00356AA1">
        <w:rPr>
          <w:sz w:val="20"/>
          <w:lang w:eastAsia="en-GB"/>
        </w:rPr>
        <w:t>Agreement recognized human rights as fundamental to conflict transition, it made only passing reference to the legacy of human rights violations and to possible avenues of redress.</w:t>
      </w:r>
      <w:r w:rsidR="00BE7BAF" w:rsidRPr="00356AA1">
        <w:rPr>
          <w:sz w:val="20"/>
          <w:lang w:eastAsia="en-GB"/>
        </w:rPr>
        <w:t xml:space="preserve"> </w:t>
      </w:r>
      <w:r w:rsidRPr="00356AA1">
        <w:rPr>
          <w:sz w:val="20"/>
          <w:lang w:eastAsia="en-GB"/>
        </w:rPr>
        <w:t>Nonetheless, several important initiatives, including investigative and truth-seeking avenues</w:t>
      </w:r>
      <w:r w:rsidR="00963168" w:rsidRPr="00356AA1">
        <w:rPr>
          <w:sz w:val="20"/>
          <w:lang w:eastAsia="en-GB"/>
        </w:rPr>
        <w:t>,</w:t>
      </w:r>
      <w:r w:rsidRPr="00356AA1">
        <w:rPr>
          <w:sz w:val="20"/>
          <w:lang w:eastAsia="en-GB"/>
        </w:rPr>
        <w:t xml:space="preserve"> have </w:t>
      </w:r>
      <w:r w:rsidR="00963168" w:rsidRPr="00356AA1">
        <w:rPr>
          <w:sz w:val="20"/>
          <w:lang w:eastAsia="en-GB"/>
        </w:rPr>
        <w:t>been conducted</w:t>
      </w:r>
      <w:r w:rsidRPr="00356AA1">
        <w:rPr>
          <w:sz w:val="20"/>
          <w:lang w:eastAsia="en-GB"/>
        </w:rPr>
        <w:t>. Civil society organizations, working with victims’ families, have examined various aspects of the Troubles, as have investigative journalists, historians and other scholars.</w:t>
      </w:r>
      <w:r w:rsidRPr="00FF4737">
        <w:rPr>
          <w:lang w:eastAsia="en-GB"/>
        </w:rPr>
        <w:t xml:space="preserve"> </w:t>
      </w:r>
    </w:p>
    <w:p w:rsidR="00FF4737" w:rsidRPr="00403AE5" w:rsidRDefault="00BB1540" w:rsidP="00403AE5">
      <w:pPr>
        <w:pStyle w:val="H23G"/>
        <w:rPr>
          <w:sz w:val="20"/>
          <w:szCs w:val="20"/>
        </w:rPr>
      </w:pPr>
      <w:r w:rsidRPr="00403AE5">
        <w:rPr>
          <w:sz w:val="20"/>
          <w:szCs w:val="20"/>
        </w:rPr>
        <w:tab/>
      </w:r>
      <w:r w:rsidR="00963168" w:rsidRPr="00403AE5">
        <w:rPr>
          <w:sz w:val="20"/>
          <w:szCs w:val="20"/>
        </w:rPr>
        <w:t>1.</w:t>
      </w:r>
      <w:r w:rsidRPr="00403AE5">
        <w:rPr>
          <w:sz w:val="20"/>
          <w:szCs w:val="20"/>
        </w:rPr>
        <w:tab/>
        <w:t>Public inquiries</w:t>
      </w:r>
    </w:p>
    <w:p w:rsidR="00FF4737" w:rsidRPr="00356AA1" w:rsidRDefault="00BB1540">
      <w:pPr>
        <w:pStyle w:val="SingleTxtG"/>
        <w:rPr>
          <w:sz w:val="20"/>
          <w:lang w:eastAsia="en-GB"/>
        </w:rPr>
      </w:pPr>
      <w:r w:rsidRPr="00356AA1">
        <w:rPr>
          <w:sz w:val="20"/>
          <w:lang w:eastAsia="en-GB"/>
        </w:rPr>
        <w:t>2</w:t>
      </w:r>
      <w:r w:rsidR="00781044">
        <w:rPr>
          <w:sz w:val="20"/>
          <w:lang w:eastAsia="en-GB"/>
        </w:rPr>
        <w:t>2</w:t>
      </w:r>
      <w:r w:rsidRPr="00356AA1">
        <w:rPr>
          <w:sz w:val="20"/>
          <w:lang w:eastAsia="en-GB"/>
        </w:rPr>
        <w:t>.</w:t>
      </w:r>
      <w:r w:rsidRPr="00356AA1">
        <w:rPr>
          <w:sz w:val="20"/>
          <w:lang w:eastAsia="en-GB"/>
        </w:rPr>
        <w:tab/>
        <w:t>Four large-scale public inquiries have been undertaken to investigate specific events.</w:t>
      </w:r>
      <w:r w:rsidR="00781044">
        <w:rPr>
          <w:sz w:val="20"/>
          <w:lang w:eastAsia="en-GB"/>
        </w:rPr>
        <w:t xml:space="preserve"> </w:t>
      </w:r>
      <w:r w:rsidRPr="00356AA1">
        <w:rPr>
          <w:sz w:val="20"/>
          <w:lang w:eastAsia="en-GB"/>
        </w:rPr>
        <w:t xml:space="preserve">Most prominent </w:t>
      </w:r>
      <w:r w:rsidR="00BB0F84" w:rsidRPr="00356AA1">
        <w:rPr>
          <w:sz w:val="20"/>
          <w:lang w:eastAsia="en-GB"/>
        </w:rPr>
        <w:t xml:space="preserve">was </w:t>
      </w:r>
      <w:r w:rsidRPr="00356AA1">
        <w:rPr>
          <w:sz w:val="20"/>
          <w:lang w:eastAsia="en-GB"/>
        </w:rPr>
        <w:t xml:space="preserve">the Bloody Sunday inquiry, </w:t>
      </w:r>
      <w:r w:rsidR="00BB0F84" w:rsidRPr="00356AA1">
        <w:rPr>
          <w:sz w:val="20"/>
          <w:lang w:eastAsia="en-GB"/>
        </w:rPr>
        <w:t xml:space="preserve">which took </w:t>
      </w:r>
      <w:r w:rsidRPr="00356AA1">
        <w:rPr>
          <w:sz w:val="20"/>
          <w:lang w:eastAsia="en-GB"/>
        </w:rPr>
        <w:t>approximately a decade</w:t>
      </w:r>
      <w:r w:rsidR="00BB0F84" w:rsidRPr="00356AA1">
        <w:rPr>
          <w:sz w:val="20"/>
          <w:lang w:eastAsia="en-GB"/>
        </w:rPr>
        <w:t xml:space="preserve"> to complete</w:t>
      </w:r>
      <w:r w:rsidRPr="00356AA1">
        <w:rPr>
          <w:sz w:val="20"/>
          <w:lang w:eastAsia="en-GB"/>
        </w:rPr>
        <w:t xml:space="preserve">. After </w:t>
      </w:r>
      <w:r w:rsidR="00BB0F84" w:rsidRPr="00356AA1">
        <w:rPr>
          <w:sz w:val="20"/>
          <w:lang w:eastAsia="en-GB"/>
        </w:rPr>
        <w:t xml:space="preserve">an </w:t>
      </w:r>
      <w:r w:rsidRPr="00356AA1">
        <w:rPr>
          <w:sz w:val="20"/>
          <w:lang w:eastAsia="en-GB"/>
        </w:rPr>
        <w:t xml:space="preserve">exhaustive review of material evidence and multiple witness and participant testimony, the inquiry found that, contrary to the official </w:t>
      </w:r>
      <w:r w:rsidR="00BB0F84" w:rsidRPr="00356AA1">
        <w:rPr>
          <w:sz w:val="20"/>
          <w:lang w:eastAsia="en-GB"/>
        </w:rPr>
        <w:t>S</w:t>
      </w:r>
      <w:r w:rsidRPr="00356AA1">
        <w:rPr>
          <w:sz w:val="20"/>
          <w:lang w:eastAsia="en-GB"/>
        </w:rPr>
        <w:t xml:space="preserve">tate position, British </w:t>
      </w:r>
      <w:r w:rsidRPr="00356AA1">
        <w:rPr>
          <w:sz w:val="20"/>
          <w:lang w:eastAsia="en-GB"/>
        </w:rPr>
        <w:lastRenderedPageBreak/>
        <w:t xml:space="preserve">paratroopers </w:t>
      </w:r>
      <w:r w:rsidR="00BB0F84" w:rsidRPr="00356AA1">
        <w:rPr>
          <w:sz w:val="20"/>
          <w:lang w:eastAsia="en-GB"/>
        </w:rPr>
        <w:t xml:space="preserve">had </w:t>
      </w:r>
      <w:r w:rsidRPr="00356AA1">
        <w:rPr>
          <w:sz w:val="20"/>
          <w:lang w:eastAsia="en-GB"/>
        </w:rPr>
        <w:t>fired the first shot, without warning, against people posing no threat, and subsequently fired on fleeing, unarmed civilians, on someone already wounded on the ground, and on persons who had come to the aid of the wounded, resulting in 14 deaths, and confirmed that British soldiers lied to cover up their acts.</w:t>
      </w:r>
      <w:r w:rsidRPr="007950F8">
        <w:rPr>
          <w:rStyle w:val="FootnoteReference"/>
          <w:szCs w:val="18"/>
          <w:lang w:eastAsia="en-GB"/>
        </w:rPr>
        <w:footnoteReference w:id="4"/>
      </w:r>
      <w:r w:rsidRPr="00356AA1">
        <w:rPr>
          <w:sz w:val="20"/>
          <w:lang w:eastAsia="en-GB"/>
        </w:rPr>
        <w:t xml:space="preserve"> The </w:t>
      </w:r>
      <w:r w:rsidR="00BB0F84" w:rsidRPr="00356AA1">
        <w:rPr>
          <w:sz w:val="20"/>
          <w:lang w:eastAsia="en-GB"/>
        </w:rPr>
        <w:t xml:space="preserve">publication of the </w:t>
      </w:r>
      <w:r w:rsidRPr="00356AA1">
        <w:rPr>
          <w:sz w:val="20"/>
          <w:lang w:eastAsia="en-GB"/>
        </w:rPr>
        <w:t>report led to a public apology by Prime Minister Cameron, 38 years after the events.</w:t>
      </w:r>
      <w:r w:rsidR="00781044">
        <w:rPr>
          <w:sz w:val="20"/>
          <w:lang w:eastAsia="en-GB"/>
        </w:rPr>
        <w:t xml:space="preserve"> </w:t>
      </w:r>
    </w:p>
    <w:p w:rsidR="00FF4737" w:rsidRPr="00356AA1" w:rsidRDefault="00BB1540">
      <w:pPr>
        <w:pStyle w:val="SingleTxtG"/>
        <w:rPr>
          <w:sz w:val="20"/>
          <w:lang w:eastAsia="en-GB"/>
        </w:rPr>
      </w:pPr>
      <w:r w:rsidRPr="00356AA1">
        <w:rPr>
          <w:sz w:val="20"/>
          <w:lang w:eastAsia="en-GB"/>
        </w:rPr>
        <w:t>2</w:t>
      </w:r>
      <w:r w:rsidR="00781044">
        <w:rPr>
          <w:sz w:val="20"/>
          <w:lang w:eastAsia="en-GB"/>
        </w:rPr>
        <w:t>3</w:t>
      </w:r>
      <w:r w:rsidRPr="00356AA1">
        <w:rPr>
          <w:sz w:val="20"/>
          <w:lang w:eastAsia="en-GB"/>
        </w:rPr>
        <w:t>.</w:t>
      </w:r>
      <w:r w:rsidRPr="00356AA1">
        <w:rPr>
          <w:sz w:val="20"/>
          <w:lang w:eastAsia="en-GB"/>
        </w:rPr>
        <w:tab/>
        <w:t>While public inquiries can be a significant truth-seeking instrument, the</w:t>
      </w:r>
      <w:r w:rsidR="00BB0F84" w:rsidRPr="00356AA1">
        <w:rPr>
          <w:sz w:val="20"/>
          <w:lang w:eastAsia="en-GB"/>
        </w:rPr>
        <w:t>y have</w:t>
      </w:r>
      <w:r w:rsidRPr="00356AA1">
        <w:rPr>
          <w:sz w:val="20"/>
          <w:lang w:eastAsia="en-GB"/>
        </w:rPr>
        <w:t xml:space="preserve"> </w:t>
      </w:r>
      <w:r w:rsidR="00BB0F84" w:rsidRPr="00356AA1">
        <w:rPr>
          <w:sz w:val="20"/>
          <w:lang w:eastAsia="en-GB"/>
        </w:rPr>
        <w:t>serious</w:t>
      </w:r>
      <w:r w:rsidRPr="00356AA1">
        <w:rPr>
          <w:sz w:val="20"/>
          <w:lang w:eastAsia="en-GB"/>
        </w:rPr>
        <w:t xml:space="preserve"> limitations as well. The Inquiries Act</w:t>
      </w:r>
      <w:r w:rsidR="00BB0F84" w:rsidRPr="00356AA1">
        <w:rPr>
          <w:sz w:val="20"/>
          <w:lang w:eastAsia="en-GB"/>
        </w:rPr>
        <w:t xml:space="preserve"> of 2005</w:t>
      </w:r>
      <w:r w:rsidRPr="00356AA1">
        <w:rPr>
          <w:sz w:val="20"/>
          <w:lang w:eastAsia="en-GB"/>
        </w:rPr>
        <w:t xml:space="preserve">, </w:t>
      </w:r>
      <w:r w:rsidR="00BB0F84" w:rsidRPr="00356AA1">
        <w:rPr>
          <w:sz w:val="20"/>
          <w:lang w:eastAsia="en-GB"/>
        </w:rPr>
        <w:t>which assigned</w:t>
      </w:r>
      <w:r w:rsidRPr="00356AA1">
        <w:rPr>
          <w:sz w:val="20"/>
          <w:lang w:eastAsia="en-GB"/>
        </w:rPr>
        <w:t xml:space="preserve"> the power to initiate public inquiries </w:t>
      </w:r>
      <w:r w:rsidR="00BB0F84" w:rsidRPr="00356AA1">
        <w:rPr>
          <w:sz w:val="20"/>
          <w:lang w:eastAsia="en-GB"/>
        </w:rPr>
        <w:t>to</w:t>
      </w:r>
      <w:r w:rsidRPr="00356AA1">
        <w:rPr>
          <w:sz w:val="20"/>
          <w:lang w:eastAsia="en-GB"/>
        </w:rPr>
        <w:t xml:space="preserve"> the executive branch,</w:t>
      </w:r>
      <w:r w:rsidRPr="00356AA1" w:rsidDel="002167F2">
        <w:rPr>
          <w:sz w:val="20"/>
          <w:lang w:eastAsia="en-GB"/>
        </w:rPr>
        <w:t xml:space="preserve"> </w:t>
      </w:r>
      <w:r w:rsidRPr="00356AA1">
        <w:rPr>
          <w:sz w:val="20"/>
          <w:lang w:eastAsia="en-GB"/>
        </w:rPr>
        <w:t>has been criticized for granting excessive executive control</w:t>
      </w:r>
      <w:r w:rsidR="00443748" w:rsidRPr="00356AA1">
        <w:rPr>
          <w:sz w:val="20"/>
          <w:lang w:eastAsia="en-GB"/>
        </w:rPr>
        <w:t xml:space="preserve"> (see</w:t>
      </w:r>
      <w:r w:rsidR="00443748" w:rsidRPr="00356AA1">
        <w:rPr>
          <w:sz w:val="20"/>
        </w:rPr>
        <w:t xml:space="preserve"> CCPR/C/GBR/CO/7, para. 8 and CCPR/C/GBR/CO/6/CRP.1, para. 9)</w:t>
      </w:r>
      <w:r w:rsidRPr="00356AA1">
        <w:rPr>
          <w:sz w:val="20"/>
          <w:lang w:eastAsia="en-GB"/>
        </w:rPr>
        <w:t>. Calls for inquiries into other large-scale or paradigmatic cases, including the Omagh bombing and the killing of human rights defender Pat Finucane, have not been taken up.</w:t>
      </w:r>
      <w:r w:rsidRPr="007950F8">
        <w:rPr>
          <w:rStyle w:val="FootnoteReference"/>
          <w:szCs w:val="18"/>
          <w:lang w:eastAsia="en-GB"/>
        </w:rPr>
        <w:footnoteReference w:id="5"/>
      </w:r>
      <w:r w:rsidRPr="00356AA1">
        <w:rPr>
          <w:sz w:val="20"/>
          <w:lang w:eastAsia="en-GB"/>
        </w:rPr>
        <w:t xml:space="preserve"> Victims have expressed serious concern that the rationale for establishing truth and justice initiatives, in the form of official inquiries, is neither transparent nor, ultimately, equitable.</w:t>
      </w:r>
    </w:p>
    <w:p w:rsidR="00FF4737" w:rsidRPr="00356AA1" w:rsidRDefault="00BB1540">
      <w:pPr>
        <w:pStyle w:val="SingleTxtG"/>
        <w:rPr>
          <w:sz w:val="20"/>
          <w:lang w:eastAsia="en-GB"/>
        </w:rPr>
      </w:pPr>
      <w:r w:rsidRPr="00356AA1">
        <w:rPr>
          <w:sz w:val="20"/>
          <w:lang w:eastAsia="en-GB"/>
        </w:rPr>
        <w:t>2</w:t>
      </w:r>
      <w:r w:rsidR="00781044">
        <w:rPr>
          <w:sz w:val="20"/>
          <w:lang w:eastAsia="en-GB"/>
        </w:rPr>
        <w:t>4</w:t>
      </w:r>
      <w:r w:rsidRPr="00356AA1">
        <w:rPr>
          <w:sz w:val="20"/>
          <w:lang w:eastAsia="en-GB"/>
        </w:rPr>
        <w:t>.</w:t>
      </w:r>
      <w:r w:rsidRPr="00356AA1">
        <w:rPr>
          <w:sz w:val="20"/>
          <w:lang w:eastAsia="en-GB"/>
        </w:rPr>
        <w:tab/>
        <w:t>In addition to their exorbitant cost (</w:t>
      </w:r>
      <w:r w:rsidR="00443748" w:rsidRPr="00356AA1">
        <w:rPr>
          <w:sz w:val="20"/>
          <w:lang w:eastAsia="en-GB"/>
        </w:rPr>
        <w:t xml:space="preserve">for example, </w:t>
      </w:r>
      <w:r w:rsidRPr="00356AA1">
        <w:rPr>
          <w:sz w:val="20"/>
          <w:lang w:eastAsia="en-GB"/>
        </w:rPr>
        <w:t xml:space="preserve">the Bloody Sunday inquiry cost </w:t>
      </w:r>
      <w:r w:rsidR="00443748" w:rsidRPr="00356AA1">
        <w:rPr>
          <w:sz w:val="20"/>
          <w:lang w:eastAsia="en-GB"/>
        </w:rPr>
        <w:t>more than £</w:t>
      </w:r>
      <w:r w:rsidRPr="00356AA1">
        <w:rPr>
          <w:sz w:val="20"/>
          <w:lang w:eastAsia="en-GB"/>
        </w:rPr>
        <w:t xml:space="preserve">200 million), event-based inquiries do not </w:t>
      </w:r>
      <w:r w:rsidR="00443748" w:rsidRPr="00356AA1">
        <w:rPr>
          <w:sz w:val="20"/>
          <w:lang w:eastAsia="en-GB"/>
        </w:rPr>
        <w:t>always produce</w:t>
      </w:r>
      <w:r w:rsidRPr="00356AA1">
        <w:rPr>
          <w:sz w:val="20"/>
          <w:lang w:eastAsia="en-GB"/>
        </w:rPr>
        <w:t xml:space="preserve"> evidence for establishing whether a particular incident fell into a general pattern </w:t>
      </w:r>
      <w:r w:rsidR="00443748" w:rsidRPr="00356AA1">
        <w:rPr>
          <w:sz w:val="20"/>
          <w:lang w:eastAsia="en-GB"/>
        </w:rPr>
        <w:t>or</w:t>
      </w:r>
      <w:r w:rsidRPr="00356AA1">
        <w:rPr>
          <w:sz w:val="20"/>
          <w:lang w:eastAsia="en-GB"/>
        </w:rPr>
        <w:t xml:space="preserve"> practice of violations. </w:t>
      </w:r>
      <w:r w:rsidR="00443748" w:rsidRPr="00356AA1">
        <w:rPr>
          <w:sz w:val="20"/>
          <w:lang w:eastAsia="en-GB"/>
        </w:rPr>
        <w:t xml:space="preserve">An </w:t>
      </w:r>
      <w:r w:rsidRPr="00356AA1">
        <w:rPr>
          <w:sz w:val="20"/>
          <w:lang w:eastAsia="en-GB"/>
        </w:rPr>
        <w:t xml:space="preserve">individually-focused inquiry </w:t>
      </w:r>
      <w:r w:rsidR="00443748" w:rsidRPr="00356AA1">
        <w:rPr>
          <w:sz w:val="20"/>
          <w:lang w:eastAsia="en-GB"/>
        </w:rPr>
        <w:t xml:space="preserve">would </w:t>
      </w:r>
      <w:r w:rsidRPr="00356AA1">
        <w:rPr>
          <w:sz w:val="20"/>
          <w:lang w:eastAsia="en-GB"/>
        </w:rPr>
        <w:t xml:space="preserve">thus fail to address the systematic or widespread nature of violations, </w:t>
      </w:r>
      <w:r w:rsidR="00443748" w:rsidRPr="00356AA1">
        <w:rPr>
          <w:sz w:val="20"/>
          <w:lang w:eastAsia="en-GB"/>
        </w:rPr>
        <w:t xml:space="preserve">and of </w:t>
      </w:r>
      <w:r w:rsidRPr="00356AA1">
        <w:rPr>
          <w:sz w:val="20"/>
          <w:lang w:eastAsia="en-GB"/>
        </w:rPr>
        <w:t>whether they are the result of certain policies, orders or chains of command.</w:t>
      </w:r>
      <w:r w:rsidR="00781044">
        <w:rPr>
          <w:sz w:val="20"/>
          <w:lang w:eastAsia="en-GB"/>
        </w:rPr>
        <w:t xml:space="preserve"> </w:t>
      </w:r>
    </w:p>
    <w:p w:rsidR="00FF4737" w:rsidRPr="00403AE5" w:rsidRDefault="00BB1540" w:rsidP="00403AE5">
      <w:pPr>
        <w:pStyle w:val="H23G"/>
        <w:rPr>
          <w:sz w:val="20"/>
          <w:szCs w:val="20"/>
        </w:rPr>
      </w:pPr>
      <w:r w:rsidRPr="00403AE5">
        <w:rPr>
          <w:sz w:val="20"/>
          <w:szCs w:val="20"/>
        </w:rPr>
        <w:tab/>
      </w:r>
      <w:r w:rsidR="00963168" w:rsidRPr="00403AE5">
        <w:rPr>
          <w:sz w:val="20"/>
          <w:szCs w:val="20"/>
        </w:rPr>
        <w:t>2.</w:t>
      </w:r>
      <w:r w:rsidRPr="00403AE5">
        <w:rPr>
          <w:sz w:val="20"/>
          <w:szCs w:val="20"/>
        </w:rPr>
        <w:tab/>
        <w:t>Inquests</w:t>
      </w:r>
    </w:p>
    <w:p w:rsidR="00FF4737" w:rsidRPr="00356AA1" w:rsidRDefault="00BB1540">
      <w:pPr>
        <w:pStyle w:val="SingleTxtG"/>
        <w:rPr>
          <w:sz w:val="20"/>
          <w:lang w:eastAsia="en-GB"/>
        </w:rPr>
      </w:pPr>
      <w:r w:rsidRPr="00356AA1">
        <w:rPr>
          <w:sz w:val="20"/>
          <w:lang w:eastAsia="en-GB"/>
        </w:rPr>
        <w:t>2</w:t>
      </w:r>
      <w:r w:rsidR="00781044">
        <w:rPr>
          <w:sz w:val="20"/>
          <w:lang w:eastAsia="en-GB"/>
        </w:rPr>
        <w:t>5</w:t>
      </w:r>
      <w:r w:rsidRPr="00356AA1">
        <w:rPr>
          <w:sz w:val="20"/>
          <w:lang w:eastAsia="en-GB"/>
        </w:rPr>
        <w:t>.</w:t>
      </w:r>
      <w:r w:rsidRPr="00356AA1">
        <w:rPr>
          <w:sz w:val="20"/>
          <w:lang w:eastAsia="en-GB"/>
        </w:rPr>
        <w:tab/>
        <w:t xml:space="preserve">In the absence of criminal prosecutions, bereaved families </w:t>
      </w:r>
      <w:r w:rsidR="00F10351" w:rsidRPr="00356AA1">
        <w:rPr>
          <w:sz w:val="20"/>
          <w:lang w:eastAsia="en-GB"/>
        </w:rPr>
        <w:t xml:space="preserve">sometimes resort to </w:t>
      </w:r>
      <w:r w:rsidRPr="00356AA1">
        <w:rPr>
          <w:sz w:val="20"/>
          <w:lang w:eastAsia="en-GB"/>
        </w:rPr>
        <w:t xml:space="preserve">coroner inquests (public hearings held by the coroner in certain cases to establish facts about a person’s death) </w:t>
      </w:r>
      <w:r w:rsidR="00F10351" w:rsidRPr="00356AA1">
        <w:rPr>
          <w:sz w:val="20"/>
          <w:lang w:eastAsia="en-GB"/>
        </w:rPr>
        <w:t xml:space="preserve">in order </w:t>
      </w:r>
      <w:r w:rsidRPr="00356AA1">
        <w:rPr>
          <w:sz w:val="20"/>
          <w:lang w:eastAsia="en-GB"/>
        </w:rPr>
        <w:t xml:space="preserve">to </w:t>
      </w:r>
      <w:r w:rsidR="00F10351" w:rsidRPr="00356AA1">
        <w:rPr>
          <w:sz w:val="20"/>
          <w:lang w:eastAsia="en-GB"/>
        </w:rPr>
        <w:t xml:space="preserve">gain </w:t>
      </w:r>
      <w:r w:rsidRPr="00356AA1">
        <w:rPr>
          <w:sz w:val="20"/>
          <w:lang w:eastAsia="en-GB"/>
        </w:rPr>
        <w:t xml:space="preserve">access </w:t>
      </w:r>
      <w:r w:rsidR="00F10351" w:rsidRPr="00356AA1">
        <w:rPr>
          <w:sz w:val="20"/>
          <w:lang w:eastAsia="en-GB"/>
        </w:rPr>
        <w:t xml:space="preserve">to a </w:t>
      </w:r>
      <w:r w:rsidRPr="00356AA1">
        <w:rPr>
          <w:sz w:val="20"/>
          <w:lang w:eastAsia="en-GB"/>
        </w:rPr>
        <w:t>“judicial” inquiry. Inquests</w:t>
      </w:r>
      <w:r w:rsidR="00F10351" w:rsidRPr="00356AA1">
        <w:rPr>
          <w:sz w:val="20"/>
          <w:lang w:eastAsia="en-GB"/>
        </w:rPr>
        <w:t xml:space="preserve"> are</w:t>
      </w:r>
      <w:r w:rsidRPr="00356AA1">
        <w:rPr>
          <w:sz w:val="20"/>
          <w:lang w:eastAsia="en-GB"/>
        </w:rPr>
        <w:t xml:space="preserve">, however, limited judicial mechanisms. Despite </w:t>
      </w:r>
      <w:r w:rsidR="00F10351" w:rsidRPr="00356AA1">
        <w:rPr>
          <w:sz w:val="20"/>
          <w:lang w:eastAsia="en-GB"/>
        </w:rPr>
        <w:t xml:space="preserve">the </w:t>
      </w:r>
      <w:r w:rsidRPr="00356AA1">
        <w:rPr>
          <w:sz w:val="20"/>
          <w:lang w:eastAsia="en-GB"/>
        </w:rPr>
        <w:t xml:space="preserve">reservations </w:t>
      </w:r>
      <w:r w:rsidR="00F10351" w:rsidRPr="00356AA1">
        <w:rPr>
          <w:sz w:val="20"/>
          <w:lang w:eastAsia="en-GB"/>
        </w:rPr>
        <w:t xml:space="preserve">of the European court of Human Rights </w:t>
      </w:r>
      <w:r w:rsidRPr="00356AA1">
        <w:rPr>
          <w:sz w:val="20"/>
          <w:lang w:eastAsia="en-GB"/>
        </w:rPr>
        <w:t>about the</w:t>
      </w:r>
      <w:r w:rsidR="00F10351" w:rsidRPr="00356AA1">
        <w:rPr>
          <w:sz w:val="20"/>
          <w:lang w:eastAsia="en-GB"/>
        </w:rPr>
        <w:t>ir</w:t>
      </w:r>
      <w:r w:rsidRPr="00356AA1">
        <w:rPr>
          <w:sz w:val="20"/>
          <w:lang w:eastAsia="en-GB"/>
        </w:rPr>
        <w:t xml:space="preserve"> scope, </w:t>
      </w:r>
      <w:r w:rsidR="00F10351" w:rsidRPr="00356AA1">
        <w:rPr>
          <w:sz w:val="20"/>
          <w:lang w:eastAsia="en-GB"/>
        </w:rPr>
        <w:t xml:space="preserve">the </w:t>
      </w:r>
      <w:r w:rsidRPr="00356AA1">
        <w:rPr>
          <w:sz w:val="20"/>
          <w:lang w:eastAsia="en-GB"/>
        </w:rPr>
        <w:t>inability to compel witness testimony and the lack of prompt, reasonably expeditious proceedings, inquest</w:t>
      </w:r>
      <w:r w:rsidR="00F10351" w:rsidRPr="00356AA1">
        <w:rPr>
          <w:sz w:val="20"/>
          <w:lang w:eastAsia="en-GB"/>
        </w:rPr>
        <w:t>s</w:t>
      </w:r>
      <w:r w:rsidRPr="00356AA1">
        <w:rPr>
          <w:sz w:val="20"/>
          <w:lang w:eastAsia="en-GB"/>
        </w:rPr>
        <w:t xml:space="preserve"> continue </w:t>
      </w:r>
      <w:r w:rsidR="00F10351" w:rsidRPr="00356AA1">
        <w:rPr>
          <w:sz w:val="20"/>
          <w:lang w:eastAsia="en-GB"/>
        </w:rPr>
        <w:t xml:space="preserve">to be </w:t>
      </w:r>
      <w:r w:rsidRPr="00356AA1">
        <w:rPr>
          <w:sz w:val="20"/>
          <w:lang w:eastAsia="en-GB"/>
        </w:rPr>
        <w:t xml:space="preserve">a </w:t>
      </w:r>
      <w:r w:rsidR="00F10351" w:rsidRPr="00356AA1">
        <w:rPr>
          <w:sz w:val="20"/>
          <w:lang w:eastAsia="en-GB"/>
        </w:rPr>
        <w:t>common form of legal recourse</w:t>
      </w:r>
      <w:r w:rsidRPr="00356AA1">
        <w:rPr>
          <w:sz w:val="20"/>
          <w:lang w:eastAsia="en-GB"/>
        </w:rPr>
        <w:t>.</w:t>
      </w:r>
      <w:r w:rsidR="00781044">
        <w:rPr>
          <w:sz w:val="20"/>
          <w:lang w:eastAsia="en-GB"/>
        </w:rPr>
        <w:t xml:space="preserve"> </w:t>
      </w:r>
    </w:p>
    <w:p w:rsidR="00FF4737" w:rsidRPr="00356AA1" w:rsidRDefault="00BB1540">
      <w:pPr>
        <w:pStyle w:val="SingleTxtG"/>
        <w:rPr>
          <w:sz w:val="20"/>
          <w:lang w:eastAsia="en-GB"/>
        </w:rPr>
      </w:pPr>
      <w:r w:rsidRPr="00356AA1">
        <w:rPr>
          <w:sz w:val="20"/>
          <w:lang w:eastAsia="en-GB"/>
        </w:rPr>
        <w:t>2</w:t>
      </w:r>
      <w:r w:rsidR="00781044">
        <w:rPr>
          <w:sz w:val="20"/>
          <w:lang w:eastAsia="en-GB"/>
        </w:rPr>
        <w:t>6</w:t>
      </w:r>
      <w:r w:rsidRPr="00356AA1">
        <w:rPr>
          <w:sz w:val="20"/>
          <w:lang w:eastAsia="en-GB"/>
        </w:rPr>
        <w:t>.</w:t>
      </w:r>
      <w:r w:rsidRPr="00356AA1">
        <w:rPr>
          <w:sz w:val="20"/>
          <w:lang w:eastAsia="en-GB"/>
        </w:rPr>
        <w:tab/>
      </w:r>
      <w:r w:rsidR="00F10351" w:rsidRPr="00356AA1">
        <w:rPr>
          <w:sz w:val="20"/>
          <w:lang w:eastAsia="en-GB"/>
        </w:rPr>
        <w:t>R</w:t>
      </w:r>
      <w:r w:rsidRPr="00356AA1">
        <w:rPr>
          <w:sz w:val="20"/>
          <w:lang w:eastAsia="en-GB"/>
        </w:rPr>
        <w:t xml:space="preserve">eforms have not resolved the myriad </w:t>
      </w:r>
      <w:r w:rsidR="00F10351" w:rsidRPr="00356AA1">
        <w:rPr>
          <w:sz w:val="20"/>
          <w:lang w:eastAsia="en-GB"/>
        </w:rPr>
        <w:t xml:space="preserve">of </w:t>
      </w:r>
      <w:r w:rsidRPr="00356AA1">
        <w:rPr>
          <w:sz w:val="20"/>
          <w:lang w:eastAsia="en-GB"/>
        </w:rPr>
        <w:t>problems</w:t>
      </w:r>
      <w:r w:rsidR="00F10351" w:rsidRPr="00356AA1">
        <w:rPr>
          <w:sz w:val="20"/>
          <w:lang w:eastAsia="en-GB"/>
        </w:rPr>
        <w:t xml:space="preserve"> that inquests pose</w:t>
      </w:r>
      <w:r w:rsidRPr="00356AA1">
        <w:rPr>
          <w:sz w:val="20"/>
          <w:lang w:eastAsia="en-GB"/>
        </w:rPr>
        <w:t xml:space="preserve">. Protracted litigation concerning </w:t>
      </w:r>
      <w:r w:rsidR="00F10351" w:rsidRPr="00356AA1">
        <w:rPr>
          <w:sz w:val="20"/>
          <w:lang w:eastAsia="en-GB"/>
        </w:rPr>
        <w:t xml:space="preserve">the disclosure of </w:t>
      </w:r>
      <w:r w:rsidRPr="00356AA1">
        <w:rPr>
          <w:sz w:val="20"/>
          <w:lang w:eastAsia="en-GB"/>
        </w:rPr>
        <w:t xml:space="preserve">information </w:t>
      </w:r>
      <w:r w:rsidR="00F10351" w:rsidRPr="00356AA1">
        <w:rPr>
          <w:sz w:val="20"/>
          <w:lang w:eastAsia="en-GB"/>
        </w:rPr>
        <w:t>on</w:t>
      </w:r>
      <w:r w:rsidRPr="00356AA1">
        <w:rPr>
          <w:sz w:val="20"/>
          <w:lang w:eastAsia="en-GB"/>
        </w:rPr>
        <w:t xml:space="preserve"> security personnel causes delays.</w:t>
      </w:r>
      <w:r w:rsidR="00781044">
        <w:rPr>
          <w:sz w:val="20"/>
          <w:lang w:eastAsia="en-GB"/>
        </w:rPr>
        <w:t xml:space="preserve"> </w:t>
      </w:r>
      <w:r w:rsidRPr="00356AA1">
        <w:rPr>
          <w:sz w:val="20"/>
          <w:lang w:eastAsia="en-GB"/>
        </w:rPr>
        <w:t xml:space="preserve">Questions about independence abound, especially where former personnel </w:t>
      </w:r>
      <w:r w:rsidR="00F10351" w:rsidRPr="00356AA1">
        <w:rPr>
          <w:sz w:val="20"/>
          <w:lang w:eastAsia="en-GB"/>
        </w:rPr>
        <w:t xml:space="preserve">of the Royal Ulster Constabulary </w:t>
      </w:r>
      <w:r w:rsidRPr="00356AA1">
        <w:rPr>
          <w:sz w:val="20"/>
          <w:lang w:eastAsia="en-GB"/>
        </w:rPr>
        <w:t xml:space="preserve">(led by a </w:t>
      </w:r>
      <w:r w:rsidR="00F10351" w:rsidRPr="00356AA1">
        <w:rPr>
          <w:sz w:val="20"/>
          <w:lang w:eastAsia="en-GB"/>
        </w:rPr>
        <w:t>c</w:t>
      </w:r>
      <w:r w:rsidRPr="00356AA1">
        <w:rPr>
          <w:sz w:val="20"/>
          <w:lang w:eastAsia="en-GB"/>
        </w:rPr>
        <w:t xml:space="preserve">oroner) are in charge of investigating </w:t>
      </w:r>
      <w:r w:rsidR="00F56921">
        <w:rPr>
          <w:sz w:val="20"/>
          <w:lang w:eastAsia="en-GB"/>
        </w:rPr>
        <w:t>the Constabulary’s</w:t>
      </w:r>
      <w:r w:rsidR="00F10351" w:rsidRPr="00356AA1">
        <w:rPr>
          <w:sz w:val="20"/>
          <w:lang w:eastAsia="en-GB"/>
        </w:rPr>
        <w:t xml:space="preserve"> conduct </w:t>
      </w:r>
      <w:r w:rsidRPr="00356AA1">
        <w:rPr>
          <w:sz w:val="20"/>
          <w:lang w:eastAsia="en-GB"/>
        </w:rPr>
        <w:t xml:space="preserve">using information held in police files. </w:t>
      </w:r>
      <w:r w:rsidR="00F10351" w:rsidRPr="00356AA1">
        <w:rPr>
          <w:sz w:val="20"/>
          <w:lang w:eastAsia="en-GB"/>
        </w:rPr>
        <w:t>C</w:t>
      </w:r>
      <w:r w:rsidRPr="00356AA1">
        <w:rPr>
          <w:sz w:val="20"/>
          <w:lang w:eastAsia="en-GB"/>
        </w:rPr>
        <w:t xml:space="preserve">oncerns about access to past </w:t>
      </w:r>
      <w:r w:rsidR="00F10351" w:rsidRPr="00356AA1">
        <w:rPr>
          <w:sz w:val="20"/>
          <w:lang w:eastAsia="en-GB"/>
        </w:rPr>
        <w:t>i</w:t>
      </w:r>
      <w:r w:rsidRPr="00356AA1">
        <w:rPr>
          <w:sz w:val="20"/>
          <w:lang w:eastAsia="en-GB"/>
        </w:rPr>
        <w:t>nquests persist</w:t>
      </w:r>
      <w:r w:rsidR="00F10351" w:rsidRPr="00356AA1">
        <w:rPr>
          <w:sz w:val="20"/>
          <w:lang w:eastAsia="en-GB"/>
        </w:rPr>
        <w:t>,</w:t>
      </w:r>
      <w:r w:rsidRPr="00356AA1">
        <w:rPr>
          <w:sz w:val="20"/>
          <w:lang w:eastAsia="en-GB"/>
        </w:rPr>
        <w:t xml:space="preserve"> even though most of the information is </w:t>
      </w:r>
      <w:r w:rsidR="00F56921">
        <w:rPr>
          <w:sz w:val="20"/>
          <w:lang w:eastAsia="en-GB"/>
        </w:rPr>
        <w:t xml:space="preserve">held </w:t>
      </w:r>
      <w:r w:rsidRPr="00356AA1">
        <w:rPr>
          <w:sz w:val="20"/>
          <w:lang w:eastAsia="en-GB"/>
        </w:rPr>
        <w:t xml:space="preserve">in </w:t>
      </w:r>
      <w:r w:rsidR="00F10351" w:rsidRPr="00356AA1">
        <w:rPr>
          <w:sz w:val="20"/>
          <w:lang w:eastAsia="en-GB"/>
        </w:rPr>
        <w:t>p</w:t>
      </w:r>
      <w:r w:rsidRPr="00356AA1">
        <w:rPr>
          <w:sz w:val="20"/>
          <w:lang w:eastAsia="en-GB"/>
        </w:rPr>
        <w:t xml:space="preserve">ublic </w:t>
      </w:r>
      <w:r w:rsidR="00F10351" w:rsidRPr="00356AA1">
        <w:rPr>
          <w:sz w:val="20"/>
          <w:lang w:eastAsia="en-GB"/>
        </w:rPr>
        <w:t>r</w:t>
      </w:r>
      <w:r w:rsidRPr="00356AA1">
        <w:rPr>
          <w:sz w:val="20"/>
          <w:lang w:eastAsia="en-GB"/>
        </w:rPr>
        <w:t>ecord</w:t>
      </w:r>
      <w:r w:rsidR="00F10351" w:rsidRPr="00356AA1">
        <w:rPr>
          <w:sz w:val="20"/>
          <w:lang w:eastAsia="en-GB"/>
        </w:rPr>
        <w:t>s</w:t>
      </w:r>
      <w:r w:rsidRPr="00356AA1">
        <w:rPr>
          <w:sz w:val="20"/>
          <w:lang w:eastAsia="en-GB"/>
        </w:rPr>
        <w:t xml:space="preserve"> </w:t>
      </w:r>
      <w:r w:rsidR="00F10351" w:rsidRPr="00356AA1">
        <w:rPr>
          <w:sz w:val="20"/>
          <w:lang w:eastAsia="en-GB"/>
        </w:rPr>
        <w:t>o</w:t>
      </w:r>
      <w:r w:rsidRPr="00356AA1">
        <w:rPr>
          <w:sz w:val="20"/>
          <w:lang w:eastAsia="en-GB"/>
        </w:rPr>
        <w:t>ffice</w:t>
      </w:r>
      <w:r w:rsidR="00F10351" w:rsidRPr="00356AA1">
        <w:rPr>
          <w:sz w:val="20"/>
          <w:lang w:eastAsia="en-GB"/>
        </w:rPr>
        <w:t>s</w:t>
      </w:r>
      <w:r w:rsidRPr="00356AA1">
        <w:rPr>
          <w:sz w:val="20"/>
          <w:lang w:eastAsia="en-GB"/>
        </w:rPr>
        <w:t xml:space="preserve">. When documents on </w:t>
      </w:r>
      <w:r w:rsidR="008B1A07" w:rsidRPr="00356AA1">
        <w:rPr>
          <w:sz w:val="20"/>
          <w:lang w:eastAsia="en-GB"/>
        </w:rPr>
        <w:t xml:space="preserve">cases related to the </w:t>
      </w:r>
      <w:r w:rsidRPr="00356AA1">
        <w:rPr>
          <w:sz w:val="20"/>
          <w:lang w:eastAsia="en-GB"/>
        </w:rPr>
        <w:t>Troubles are released, they are heavily redacted.</w:t>
      </w:r>
    </w:p>
    <w:p w:rsidR="00FF4737" w:rsidRPr="00356AA1" w:rsidRDefault="00BB1540">
      <w:pPr>
        <w:pStyle w:val="SingleTxtG"/>
        <w:rPr>
          <w:sz w:val="20"/>
          <w:lang w:eastAsia="en-GB"/>
        </w:rPr>
      </w:pPr>
      <w:r w:rsidRPr="00356AA1">
        <w:rPr>
          <w:sz w:val="20"/>
          <w:lang w:eastAsia="en-GB"/>
        </w:rPr>
        <w:t>2</w:t>
      </w:r>
      <w:r w:rsidR="00781044">
        <w:rPr>
          <w:sz w:val="20"/>
          <w:lang w:eastAsia="en-GB"/>
        </w:rPr>
        <w:t>7</w:t>
      </w:r>
      <w:r w:rsidRPr="00356AA1">
        <w:rPr>
          <w:sz w:val="20"/>
          <w:lang w:eastAsia="en-GB"/>
        </w:rPr>
        <w:t>.</w:t>
      </w:r>
      <w:r w:rsidRPr="00356AA1">
        <w:rPr>
          <w:sz w:val="20"/>
          <w:lang w:eastAsia="en-GB"/>
        </w:rPr>
        <w:tab/>
        <w:t xml:space="preserve">Furthermore, the inquest system deals </w:t>
      </w:r>
      <w:r w:rsidR="00D933A8" w:rsidRPr="00356AA1">
        <w:rPr>
          <w:sz w:val="20"/>
          <w:lang w:eastAsia="en-GB"/>
        </w:rPr>
        <w:t xml:space="preserve">with </w:t>
      </w:r>
      <w:r w:rsidRPr="00356AA1">
        <w:rPr>
          <w:sz w:val="20"/>
          <w:lang w:eastAsia="en-GB"/>
        </w:rPr>
        <w:t xml:space="preserve">only a small number of legacy cases: as </w:t>
      </w:r>
      <w:r w:rsidR="00D933A8" w:rsidRPr="00356AA1">
        <w:rPr>
          <w:sz w:val="20"/>
          <w:lang w:eastAsia="en-GB"/>
        </w:rPr>
        <w:t>at</w:t>
      </w:r>
      <w:r w:rsidRPr="00356AA1">
        <w:rPr>
          <w:sz w:val="20"/>
          <w:lang w:eastAsia="en-GB"/>
        </w:rPr>
        <w:t xml:space="preserve"> October 2015, there were 55 cases involving 96 deaths</w:t>
      </w:r>
      <w:r w:rsidR="00D933A8" w:rsidRPr="00356AA1">
        <w:rPr>
          <w:sz w:val="20"/>
          <w:lang w:eastAsia="en-GB"/>
        </w:rPr>
        <w:t>,</w:t>
      </w:r>
      <w:r w:rsidRPr="00356AA1">
        <w:rPr>
          <w:sz w:val="20"/>
          <w:lang w:eastAsia="en-GB"/>
        </w:rPr>
        <w:t xml:space="preserve"> pending for </w:t>
      </w:r>
      <w:r w:rsidR="00D933A8" w:rsidRPr="00356AA1">
        <w:rPr>
          <w:sz w:val="20"/>
          <w:lang w:eastAsia="en-GB"/>
        </w:rPr>
        <w:t xml:space="preserve">between </w:t>
      </w:r>
      <w:r w:rsidRPr="00356AA1">
        <w:rPr>
          <w:sz w:val="20"/>
          <w:lang w:eastAsia="en-GB"/>
        </w:rPr>
        <w:t>30</w:t>
      </w:r>
      <w:r w:rsidR="00D933A8" w:rsidRPr="00356AA1">
        <w:rPr>
          <w:sz w:val="20"/>
          <w:lang w:eastAsia="en-GB"/>
        </w:rPr>
        <w:t xml:space="preserve"> and </w:t>
      </w:r>
      <w:r w:rsidRPr="00356AA1">
        <w:rPr>
          <w:sz w:val="20"/>
          <w:lang w:eastAsia="en-GB"/>
        </w:rPr>
        <w:t xml:space="preserve">40 years. While clarifying and finalizing every case is important, </w:t>
      </w:r>
      <w:r w:rsidR="00D933A8" w:rsidRPr="00356AA1">
        <w:rPr>
          <w:sz w:val="20"/>
          <w:lang w:eastAsia="en-GB"/>
        </w:rPr>
        <w:t>inquests</w:t>
      </w:r>
      <w:r w:rsidRPr="00356AA1">
        <w:rPr>
          <w:sz w:val="20"/>
          <w:lang w:eastAsia="en-GB"/>
        </w:rPr>
        <w:t xml:space="preserve"> cannot provide a comprehensive overview of broader </w:t>
      </w:r>
      <w:r w:rsidR="007950F8" w:rsidRPr="007950F8">
        <w:rPr>
          <w:sz w:val="20"/>
          <w:lang w:eastAsia="en-GB"/>
        </w:rPr>
        <w:t xml:space="preserve">circumstances relating to </w:t>
      </w:r>
      <w:r w:rsidR="00D933A8" w:rsidRPr="00356AA1">
        <w:rPr>
          <w:sz w:val="20"/>
          <w:lang w:eastAsia="en-GB"/>
        </w:rPr>
        <w:t xml:space="preserve">the </w:t>
      </w:r>
      <w:r w:rsidRPr="00356AA1">
        <w:rPr>
          <w:sz w:val="20"/>
          <w:lang w:eastAsia="en-GB"/>
        </w:rPr>
        <w:t xml:space="preserve">Troubles. </w:t>
      </w:r>
    </w:p>
    <w:p w:rsidR="00FF4737" w:rsidRPr="00356AA1" w:rsidRDefault="00BB1540">
      <w:pPr>
        <w:pStyle w:val="SingleTxtG"/>
        <w:rPr>
          <w:sz w:val="20"/>
          <w:lang w:eastAsia="en-GB"/>
        </w:rPr>
      </w:pPr>
      <w:r w:rsidRPr="00356AA1">
        <w:rPr>
          <w:sz w:val="20"/>
          <w:lang w:eastAsia="en-GB"/>
        </w:rPr>
        <w:t>2</w:t>
      </w:r>
      <w:r w:rsidR="00781044">
        <w:rPr>
          <w:sz w:val="20"/>
          <w:lang w:eastAsia="en-GB"/>
        </w:rPr>
        <w:t>8</w:t>
      </w:r>
      <w:r w:rsidRPr="00356AA1">
        <w:rPr>
          <w:sz w:val="20"/>
          <w:lang w:eastAsia="en-GB"/>
        </w:rPr>
        <w:t>.</w:t>
      </w:r>
      <w:r w:rsidRPr="00356AA1">
        <w:rPr>
          <w:sz w:val="20"/>
          <w:lang w:eastAsia="en-GB"/>
        </w:rPr>
        <w:tab/>
      </w:r>
      <w:r w:rsidR="00444E6C" w:rsidRPr="00356AA1">
        <w:rPr>
          <w:sz w:val="20"/>
          <w:lang w:eastAsia="en-GB"/>
        </w:rPr>
        <w:t xml:space="preserve">The </w:t>
      </w:r>
      <w:r w:rsidRPr="00356AA1">
        <w:rPr>
          <w:sz w:val="20"/>
          <w:lang w:eastAsia="en-GB"/>
        </w:rPr>
        <w:t>Lord Chief Justice of N</w:t>
      </w:r>
      <w:r w:rsidR="00444E6C" w:rsidRPr="00356AA1">
        <w:rPr>
          <w:sz w:val="20"/>
          <w:lang w:eastAsia="en-GB"/>
        </w:rPr>
        <w:t xml:space="preserve">orthern </w:t>
      </w:r>
      <w:r w:rsidRPr="00356AA1">
        <w:rPr>
          <w:sz w:val="20"/>
          <w:lang w:eastAsia="en-GB"/>
        </w:rPr>
        <w:t>I</w:t>
      </w:r>
      <w:r w:rsidR="00444E6C" w:rsidRPr="00356AA1">
        <w:rPr>
          <w:sz w:val="20"/>
          <w:lang w:eastAsia="en-GB"/>
        </w:rPr>
        <w:t>reland</w:t>
      </w:r>
      <w:r w:rsidRPr="00356AA1">
        <w:rPr>
          <w:sz w:val="20"/>
          <w:lang w:eastAsia="en-GB"/>
        </w:rPr>
        <w:t xml:space="preserve">, </w:t>
      </w:r>
      <w:r w:rsidR="00444E6C" w:rsidRPr="00356AA1">
        <w:rPr>
          <w:sz w:val="20"/>
        </w:rPr>
        <w:t>Sir Declan Morgan,</w:t>
      </w:r>
      <w:r w:rsidR="00444E6C" w:rsidRPr="00356AA1">
        <w:rPr>
          <w:sz w:val="20"/>
          <w:lang w:eastAsia="en-GB"/>
        </w:rPr>
        <w:t xml:space="preserve"> </w:t>
      </w:r>
      <w:r w:rsidRPr="00356AA1">
        <w:rPr>
          <w:sz w:val="20"/>
          <w:lang w:eastAsia="en-GB"/>
        </w:rPr>
        <w:t xml:space="preserve">recently assumed responsibility for the coronial process, implementing reforms to ensure completion of outstanding inquests within five years. Such reforms include applying a thematic approach, </w:t>
      </w:r>
      <w:r w:rsidRPr="00356AA1">
        <w:rPr>
          <w:sz w:val="20"/>
          <w:lang w:eastAsia="en-GB"/>
        </w:rPr>
        <w:lastRenderedPageBreak/>
        <w:t>creating structured and systematic linkages between cases, sequencing cases, ensuring</w:t>
      </w:r>
      <w:r w:rsidR="00444E6C" w:rsidRPr="00356AA1">
        <w:rPr>
          <w:sz w:val="20"/>
          <w:lang w:eastAsia="en-GB"/>
        </w:rPr>
        <w:t xml:space="preserve"> that</w:t>
      </w:r>
      <w:r w:rsidRPr="00356AA1">
        <w:rPr>
          <w:sz w:val="20"/>
          <w:lang w:eastAsia="en-GB"/>
        </w:rPr>
        <w:t xml:space="preserve"> the </w:t>
      </w:r>
      <w:r w:rsidR="00444E6C" w:rsidRPr="00356AA1">
        <w:rPr>
          <w:sz w:val="20"/>
          <w:lang w:eastAsia="en-GB"/>
        </w:rPr>
        <w:t>p</w:t>
      </w:r>
      <w:r w:rsidRPr="00356AA1">
        <w:rPr>
          <w:sz w:val="20"/>
          <w:lang w:eastAsia="en-GB"/>
        </w:rPr>
        <w:t xml:space="preserve">residing </w:t>
      </w:r>
      <w:r w:rsidR="00444E6C" w:rsidRPr="00356AA1">
        <w:rPr>
          <w:sz w:val="20"/>
          <w:lang w:eastAsia="en-GB"/>
        </w:rPr>
        <w:t>c</w:t>
      </w:r>
      <w:r w:rsidRPr="00356AA1">
        <w:rPr>
          <w:sz w:val="20"/>
          <w:lang w:eastAsia="en-GB"/>
        </w:rPr>
        <w:t xml:space="preserve">oroner reviews all relevant material in </w:t>
      </w:r>
      <w:proofErr w:type="spellStart"/>
      <w:r w:rsidRPr="00356AA1">
        <w:rPr>
          <w:sz w:val="20"/>
          <w:lang w:eastAsia="en-GB"/>
        </w:rPr>
        <w:t>unredacted</w:t>
      </w:r>
      <w:proofErr w:type="spellEnd"/>
      <w:r w:rsidRPr="00356AA1">
        <w:rPr>
          <w:sz w:val="20"/>
          <w:lang w:eastAsia="en-GB"/>
        </w:rPr>
        <w:t xml:space="preserve"> form, and establishing a dedicated </w:t>
      </w:r>
      <w:r w:rsidR="007063B4" w:rsidRPr="00356AA1">
        <w:rPr>
          <w:sz w:val="20"/>
          <w:lang w:eastAsia="en-GB"/>
        </w:rPr>
        <w:t>l</w:t>
      </w:r>
      <w:r w:rsidRPr="00356AA1">
        <w:rPr>
          <w:sz w:val="20"/>
          <w:lang w:eastAsia="en-GB"/>
        </w:rPr>
        <w:t xml:space="preserve">egacy </w:t>
      </w:r>
      <w:r w:rsidR="007063B4" w:rsidRPr="00356AA1">
        <w:rPr>
          <w:sz w:val="20"/>
          <w:lang w:eastAsia="en-GB"/>
        </w:rPr>
        <w:t>i</w:t>
      </w:r>
      <w:r w:rsidRPr="00356AA1">
        <w:rPr>
          <w:sz w:val="20"/>
          <w:lang w:eastAsia="en-GB"/>
        </w:rPr>
        <w:t xml:space="preserve">nquest </w:t>
      </w:r>
      <w:r w:rsidR="007063B4" w:rsidRPr="00356AA1">
        <w:rPr>
          <w:sz w:val="20"/>
          <w:lang w:eastAsia="en-GB"/>
        </w:rPr>
        <w:t>u</w:t>
      </w:r>
      <w:r w:rsidRPr="00356AA1">
        <w:rPr>
          <w:sz w:val="20"/>
          <w:lang w:eastAsia="en-GB"/>
        </w:rPr>
        <w:t>nit. This initiative</w:t>
      </w:r>
      <w:r w:rsidR="007063B4" w:rsidRPr="00356AA1">
        <w:rPr>
          <w:sz w:val="20"/>
          <w:lang w:eastAsia="en-GB"/>
        </w:rPr>
        <w:t>,</w:t>
      </w:r>
      <w:r w:rsidRPr="00356AA1">
        <w:rPr>
          <w:sz w:val="20"/>
          <w:lang w:eastAsia="en-GB"/>
        </w:rPr>
        <w:t xml:space="preserve"> as a wisely</w:t>
      </w:r>
      <w:r w:rsidR="002330C1" w:rsidRPr="00356AA1">
        <w:rPr>
          <w:sz w:val="20"/>
          <w:lang w:eastAsia="en-GB"/>
        </w:rPr>
        <w:t xml:space="preserve"> </w:t>
      </w:r>
      <w:r w:rsidRPr="00356AA1">
        <w:rPr>
          <w:sz w:val="20"/>
          <w:lang w:eastAsia="en-GB"/>
        </w:rPr>
        <w:t>designed strategy to maximize the truth-telling potential of inquests for individual cases, and illustrating the structural dimensions of violations</w:t>
      </w:r>
      <w:r w:rsidR="002330C1" w:rsidRPr="00356AA1">
        <w:rPr>
          <w:sz w:val="20"/>
          <w:lang w:eastAsia="en-GB"/>
        </w:rPr>
        <w:t>,</w:t>
      </w:r>
      <w:r w:rsidR="007063B4" w:rsidRPr="00356AA1">
        <w:rPr>
          <w:sz w:val="20"/>
          <w:lang w:eastAsia="en-GB"/>
        </w:rPr>
        <w:t xml:space="preserve"> deserves strong support</w:t>
      </w:r>
      <w:r w:rsidRPr="00356AA1">
        <w:rPr>
          <w:sz w:val="20"/>
          <w:lang w:eastAsia="en-GB"/>
        </w:rPr>
        <w:t>.</w:t>
      </w:r>
      <w:r w:rsidR="00781044">
        <w:rPr>
          <w:sz w:val="20"/>
          <w:lang w:eastAsia="en-GB"/>
        </w:rPr>
        <w:t xml:space="preserve"> </w:t>
      </w:r>
    </w:p>
    <w:p w:rsidR="00FF4737" w:rsidRPr="00403AE5" w:rsidRDefault="00BB1540" w:rsidP="00356AA1">
      <w:pPr>
        <w:pStyle w:val="H23G"/>
        <w:spacing w:line="240" w:lineRule="atLeast"/>
        <w:rPr>
          <w:sz w:val="20"/>
          <w:szCs w:val="20"/>
          <w:lang w:eastAsia="en-GB"/>
        </w:rPr>
      </w:pPr>
      <w:r w:rsidRPr="00403AE5">
        <w:rPr>
          <w:sz w:val="20"/>
          <w:szCs w:val="20"/>
          <w:lang w:eastAsia="en-GB"/>
        </w:rPr>
        <w:tab/>
      </w:r>
      <w:r w:rsidR="00963168" w:rsidRPr="00403AE5">
        <w:rPr>
          <w:sz w:val="20"/>
          <w:szCs w:val="20"/>
          <w:lang w:eastAsia="en-GB"/>
        </w:rPr>
        <w:t>3.</w:t>
      </w:r>
      <w:r w:rsidRPr="00403AE5">
        <w:rPr>
          <w:sz w:val="20"/>
          <w:szCs w:val="20"/>
          <w:lang w:eastAsia="en-GB"/>
        </w:rPr>
        <w:tab/>
        <w:t>Historical Enquir</w:t>
      </w:r>
      <w:r w:rsidR="007063B4" w:rsidRPr="00403AE5">
        <w:rPr>
          <w:sz w:val="20"/>
          <w:szCs w:val="20"/>
          <w:lang w:eastAsia="en-GB"/>
        </w:rPr>
        <w:t>ies</w:t>
      </w:r>
      <w:r w:rsidRPr="00403AE5">
        <w:rPr>
          <w:sz w:val="20"/>
          <w:szCs w:val="20"/>
          <w:lang w:eastAsia="en-GB"/>
        </w:rPr>
        <w:t xml:space="preserve"> Team </w:t>
      </w:r>
    </w:p>
    <w:p w:rsidR="00FF4737" w:rsidRPr="00356AA1" w:rsidRDefault="00781044">
      <w:pPr>
        <w:pStyle w:val="SingleTxtG"/>
        <w:rPr>
          <w:sz w:val="20"/>
          <w:lang w:eastAsia="en-GB"/>
        </w:rPr>
      </w:pPr>
      <w:r>
        <w:rPr>
          <w:sz w:val="20"/>
          <w:lang w:eastAsia="en-GB"/>
        </w:rPr>
        <w:t>29</w:t>
      </w:r>
      <w:r w:rsidR="00BB1540" w:rsidRPr="00356AA1">
        <w:rPr>
          <w:sz w:val="20"/>
          <w:lang w:eastAsia="en-GB"/>
        </w:rPr>
        <w:t>.</w:t>
      </w:r>
      <w:r w:rsidR="00BB1540" w:rsidRPr="00356AA1">
        <w:rPr>
          <w:sz w:val="20"/>
          <w:lang w:eastAsia="en-GB"/>
        </w:rPr>
        <w:tab/>
        <w:t>The Historical Enquiries Team (HET), set</w:t>
      </w:r>
      <w:r w:rsidR="00963168" w:rsidRPr="00356AA1">
        <w:rPr>
          <w:sz w:val="20"/>
          <w:lang w:eastAsia="en-GB"/>
        </w:rPr>
        <w:t xml:space="preserve"> </w:t>
      </w:r>
      <w:r w:rsidR="00BB1540" w:rsidRPr="00356AA1">
        <w:rPr>
          <w:sz w:val="20"/>
          <w:lang w:eastAsia="en-GB"/>
        </w:rPr>
        <w:t xml:space="preserve">up </w:t>
      </w:r>
      <w:r w:rsidR="00963168" w:rsidRPr="00356AA1">
        <w:rPr>
          <w:sz w:val="20"/>
          <w:lang w:eastAsia="en-GB"/>
        </w:rPr>
        <w:t xml:space="preserve">in 2005 </w:t>
      </w:r>
      <w:r w:rsidR="00BB1540" w:rsidRPr="00356AA1">
        <w:rPr>
          <w:sz w:val="20"/>
          <w:lang w:eastAsia="en-GB"/>
        </w:rPr>
        <w:t xml:space="preserve">in part to comply with </w:t>
      </w:r>
      <w:r w:rsidR="007063B4" w:rsidRPr="00356AA1">
        <w:rPr>
          <w:sz w:val="20"/>
          <w:lang w:eastAsia="en-GB"/>
        </w:rPr>
        <w:t xml:space="preserve">the </w:t>
      </w:r>
      <w:r w:rsidR="00BB1540" w:rsidRPr="00356AA1">
        <w:rPr>
          <w:sz w:val="20"/>
          <w:lang w:eastAsia="en-GB"/>
        </w:rPr>
        <w:t>judgements</w:t>
      </w:r>
      <w:r w:rsidR="007063B4" w:rsidRPr="00356AA1">
        <w:rPr>
          <w:sz w:val="20"/>
          <w:lang w:eastAsia="en-GB"/>
        </w:rPr>
        <w:t xml:space="preserve"> handed down by the European Court of Human Rights</w:t>
      </w:r>
      <w:r w:rsidR="00BB1540" w:rsidRPr="00356AA1">
        <w:rPr>
          <w:sz w:val="20"/>
          <w:lang w:eastAsia="en-GB"/>
        </w:rPr>
        <w:t xml:space="preserve">, re-examined deaths attributable to the Troubles to ensure </w:t>
      </w:r>
      <w:r w:rsidR="007063B4" w:rsidRPr="00356AA1">
        <w:rPr>
          <w:sz w:val="20"/>
          <w:lang w:eastAsia="en-GB"/>
        </w:rPr>
        <w:t xml:space="preserve">that </w:t>
      </w:r>
      <w:r w:rsidR="00BB1540" w:rsidRPr="00356AA1">
        <w:rPr>
          <w:sz w:val="20"/>
          <w:lang w:eastAsia="en-GB"/>
        </w:rPr>
        <w:t xml:space="preserve">all investigative and evidential opportunities were undertaken. </w:t>
      </w:r>
      <w:r w:rsidR="007063B4" w:rsidRPr="00356AA1">
        <w:rPr>
          <w:sz w:val="20"/>
          <w:lang w:eastAsia="en-GB"/>
        </w:rPr>
        <w:t xml:space="preserve">The </w:t>
      </w:r>
      <w:r w:rsidR="00BB1540" w:rsidRPr="00356AA1">
        <w:rPr>
          <w:sz w:val="20"/>
          <w:lang w:eastAsia="en-GB"/>
        </w:rPr>
        <w:t xml:space="preserve">HET re-examined </w:t>
      </w:r>
      <w:r w:rsidR="007063B4" w:rsidRPr="00356AA1">
        <w:rPr>
          <w:sz w:val="20"/>
          <w:lang w:eastAsia="en-GB"/>
        </w:rPr>
        <w:t>more than</w:t>
      </w:r>
      <w:r w:rsidR="00BB1540" w:rsidRPr="00356AA1">
        <w:rPr>
          <w:sz w:val="20"/>
          <w:lang w:eastAsia="en-GB"/>
        </w:rPr>
        <w:t xml:space="preserve"> 2</w:t>
      </w:r>
      <w:r w:rsidR="007063B4" w:rsidRPr="00356AA1">
        <w:rPr>
          <w:sz w:val="20"/>
          <w:lang w:eastAsia="en-GB"/>
        </w:rPr>
        <w:t>,</w:t>
      </w:r>
      <w:r w:rsidR="00BB1540" w:rsidRPr="00356AA1">
        <w:rPr>
          <w:sz w:val="20"/>
          <w:lang w:eastAsia="en-GB"/>
        </w:rPr>
        <w:t xml:space="preserve">400 deaths in six years. While not an explicit truth-seeking measure, </w:t>
      </w:r>
      <w:r w:rsidR="007063B4" w:rsidRPr="00356AA1">
        <w:rPr>
          <w:sz w:val="20"/>
          <w:lang w:eastAsia="en-GB"/>
        </w:rPr>
        <w:t xml:space="preserve">the work of the </w:t>
      </w:r>
      <w:r w:rsidR="00163CA4">
        <w:rPr>
          <w:sz w:val="20"/>
          <w:lang w:eastAsia="en-GB"/>
        </w:rPr>
        <w:t>HET</w:t>
      </w:r>
      <w:r w:rsidR="007063B4" w:rsidRPr="00356AA1">
        <w:rPr>
          <w:sz w:val="20"/>
          <w:lang w:eastAsia="en-GB"/>
        </w:rPr>
        <w:t xml:space="preserve"> </w:t>
      </w:r>
      <w:r w:rsidR="00BB1540" w:rsidRPr="00356AA1">
        <w:rPr>
          <w:sz w:val="20"/>
          <w:lang w:eastAsia="en-GB"/>
        </w:rPr>
        <w:t xml:space="preserve">has brought some relief to families by </w:t>
      </w:r>
      <w:r w:rsidR="007063B4" w:rsidRPr="00356AA1">
        <w:rPr>
          <w:sz w:val="20"/>
          <w:lang w:eastAsia="en-GB"/>
        </w:rPr>
        <w:t>bring</w:t>
      </w:r>
      <w:r w:rsidR="00EC73C7">
        <w:rPr>
          <w:sz w:val="20"/>
          <w:lang w:eastAsia="en-GB"/>
        </w:rPr>
        <w:t>ing</w:t>
      </w:r>
      <w:r w:rsidR="007063B4" w:rsidRPr="00356AA1">
        <w:rPr>
          <w:sz w:val="20"/>
          <w:lang w:eastAsia="en-GB"/>
        </w:rPr>
        <w:t xml:space="preserve"> to light </w:t>
      </w:r>
      <w:r w:rsidR="00BB1540" w:rsidRPr="00356AA1">
        <w:rPr>
          <w:sz w:val="20"/>
          <w:lang w:eastAsia="en-GB"/>
        </w:rPr>
        <w:t>considerable</w:t>
      </w:r>
      <w:r w:rsidR="007063B4" w:rsidRPr="00356AA1">
        <w:rPr>
          <w:sz w:val="20"/>
          <w:lang w:eastAsia="en-GB"/>
        </w:rPr>
        <w:t xml:space="preserve"> and</w:t>
      </w:r>
      <w:r w:rsidR="00BB1540" w:rsidRPr="00356AA1">
        <w:rPr>
          <w:sz w:val="20"/>
          <w:lang w:eastAsia="en-GB"/>
        </w:rPr>
        <w:t xml:space="preserve"> substantive information.</w:t>
      </w:r>
    </w:p>
    <w:p w:rsidR="00FF4737" w:rsidRPr="00356AA1" w:rsidRDefault="00BB1540">
      <w:pPr>
        <w:pStyle w:val="SingleTxtG"/>
        <w:rPr>
          <w:sz w:val="20"/>
          <w:lang w:eastAsia="en-GB"/>
        </w:rPr>
      </w:pPr>
      <w:r w:rsidRPr="00356AA1">
        <w:rPr>
          <w:sz w:val="20"/>
          <w:lang w:eastAsia="en-GB"/>
        </w:rPr>
        <w:t>3</w:t>
      </w:r>
      <w:r w:rsidR="00781044">
        <w:rPr>
          <w:sz w:val="20"/>
          <w:lang w:eastAsia="en-GB"/>
        </w:rPr>
        <w:t>0</w:t>
      </w:r>
      <w:r w:rsidRPr="00356AA1">
        <w:rPr>
          <w:sz w:val="20"/>
          <w:lang w:eastAsia="en-GB"/>
        </w:rPr>
        <w:t>.</w:t>
      </w:r>
      <w:r w:rsidRPr="00356AA1">
        <w:rPr>
          <w:sz w:val="20"/>
          <w:lang w:eastAsia="en-GB"/>
        </w:rPr>
        <w:tab/>
      </w:r>
      <w:r w:rsidR="007063B4" w:rsidRPr="00356AA1">
        <w:rPr>
          <w:sz w:val="20"/>
          <w:lang w:eastAsia="en-GB"/>
        </w:rPr>
        <w:t>The H</w:t>
      </w:r>
      <w:r w:rsidR="00163CA4">
        <w:rPr>
          <w:sz w:val="20"/>
          <w:lang w:eastAsia="en-GB"/>
        </w:rPr>
        <w:t>ET</w:t>
      </w:r>
      <w:r w:rsidR="007063B4" w:rsidRPr="00356AA1">
        <w:rPr>
          <w:sz w:val="20"/>
          <w:lang w:eastAsia="en-GB"/>
        </w:rPr>
        <w:t xml:space="preserve"> </w:t>
      </w:r>
      <w:r w:rsidRPr="00356AA1">
        <w:rPr>
          <w:sz w:val="20"/>
          <w:lang w:eastAsia="en-GB"/>
        </w:rPr>
        <w:t>encountered significant challenges to its practical independence</w:t>
      </w:r>
      <w:r w:rsidR="007063B4" w:rsidRPr="00356AA1">
        <w:rPr>
          <w:sz w:val="20"/>
          <w:lang w:eastAsia="en-GB"/>
        </w:rPr>
        <w:t>.</w:t>
      </w:r>
      <w:r w:rsidRPr="00356AA1">
        <w:rPr>
          <w:sz w:val="20"/>
          <w:lang w:eastAsia="en-GB"/>
        </w:rPr>
        <w:t xml:space="preserve"> </w:t>
      </w:r>
      <w:r w:rsidR="007063B4" w:rsidRPr="00356AA1">
        <w:rPr>
          <w:sz w:val="20"/>
          <w:lang w:eastAsia="en-GB"/>
        </w:rPr>
        <w:t>I</w:t>
      </w:r>
      <w:r w:rsidRPr="00356AA1">
        <w:rPr>
          <w:sz w:val="20"/>
          <w:lang w:eastAsia="en-GB"/>
        </w:rPr>
        <w:t>t was located as a free</w:t>
      </w:r>
      <w:r w:rsidR="007063B4" w:rsidRPr="00356AA1">
        <w:rPr>
          <w:sz w:val="20"/>
          <w:lang w:eastAsia="en-GB"/>
        </w:rPr>
        <w:t>-</w:t>
      </w:r>
      <w:r w:rsidRPr="00356AA1">
        <w:rPr>
          <w:sz w:val="20"/>
          <w:lang w:eastAsia="en-GB"/>
        </w:rPr>
        <w:t>standing structure within the P</w:t>
      </w:r>
      <w:r w:rsidR="007063B4" w:rsidRPr="00356AA1">
        <w:rPr>
          <w:sz w:val="20"/>
          <w:lang w:eastAsia="en-GB"/>
        </w:rPr>
        <w:t xml:space="preserve">olice </w:t>
      </w:r>
      <w:r w:rsidRPr="00356AA1">
        <w:rPr>
          <w:sz w:val="20"/>
          <w:lang w:eastAsia="en-GB"/>
        </w:rPr>
        <w:t>S</w:t>
      </w:r>
      <w:r w:rsidR="007063B4" w:rsidRPr="00356AA1">
        <w:rPr>
          <w:sz w:val="20"/>
          <w:lang w:eastAsia="en-GB"/>
        </w:rPr>
        <w:t xml:space="preserve">ervice of </w:t>
      </w:r>
      <w:r w:rsidRPr="00356AA1">
        <w:rPr>
          <w:sz w:val="20"/>
          <w:lang w:eastAsia="en-GB"/>
        </w:rPr>
        <w:t>N</w:t>
      </w:r>
      <w:r w:rsidR="007063B4" w:rsidRPr="00356AA1">
        <w:rPr>
          <w:sz w:val="20"/>
          <w:lang w:eastAsia="en-GB"/>
        </w:rPr>
        <w:t xml:space="preserve">orthern </w:t>
      </w:r>
      <w:r w:rsidRPr="00356AA1">
        <w:rPr>
          <w:sz w:val="20"/>
          <w:lang w:eastAsia="en-GB"/>
        </w:rPr>
        <w:t>I</w:t>
      </w:r>
      <w:r w:rsidR="007063B4" w:rsidRPr="00356AA1">
        <w:rPr>
          <w:sz w:val="20"/>
          <w:lang w:eastAsia="en-GB"/>
        </w:rPr>
        <w:t>reland</w:t>
      </w:r>
      <w:r w:rsidRPr="00356AA1">
        <w:rPr>
          <w:sz w:val="20"/>
          <w:lang w:eastAsia="en-GB"/>
        </w:rPr>
        <w:t>, but the need for local knowledge led to the recruitment of former and/or retired officers</w:t>
      </w:r>
      <w:r w:rsidR="007063B4" w:rsidRPr="00356AA1">
        <w:rPr>
          <w:sz w:val="20"/>
          <w:lang w:eastAsia="en-GB"/>
        </w:rPr>
        <w:t xml:space="preserve"> of the Royal Ulster Constabulary</w:t>
      </w:r>
      <w:r w:rsidRPr="00356AA1">
        <w:rPr>
          <w:sz w:val="20"/>
          <w:lang w:eastAsia="en-GB"/>
        </w:rPr>
        <w:t xml:space="preserve">, </w:t>
      </w:r>
      <w:r w:rsidR="007063B4" w:rsidRPr="00356AA1">
        <w:rPr>
          <w:sz w:val="20"/>
          <w:lang w:eastAsia="en-GB"/>
        </w:rPr>
        <w:t xml:space="preserve">which </w:t>
      </w:r>
      <w:r w:rsidRPr="00356AA1">
        <w:rPr>
          <w:sz w:val="20"/>
          <w:lang w:eastAsia="en-GB"/>
        </w:rPr>
        <w:t>appear</w:t>
      </w:r>
      <w:r w:rsidR="007063B4" w:rsidRPr="00356AA1">
        <w:rPr>
          <w:sz w:val="20"/>
          <w:lang w:eastAsia="en-GB"/>
        </w:rPr>
        <w:t>ed</w:t>
      </w:r>
      <w:r w:rsidRPr="00356AA1">
        <w:rPr>
          <w:sz w:val="20"/>
          <w:lang w:eastAsia="en-GB"/>
        </w:rPr>
        <w:t xml:space="preserve"> </w:t>
      </w:r>
      <w:r w:rsidR="007063B4" w:rsidRPr="00356AA1">
        <w:rPr>
          <w:sz w:val="20"/>
          <w:lang w:eastAsia="en-GB"/>
        </w:rPr>
        <w:t>to</w:t>
      </w:r>
      <w:r w:rsidRPr="00356AA1">
        <w:rPr>
          <w:sz w:val="20"/>
          <w:lang w:eastAsia="en-GB"/>
        </w:rPr>
        <w:t xml:space="preserve"> compromise of </w:t>
      </w:r>
      <w:r w:rsidR="007063B4" w:rsidRPr="00356AA1">
        <w:rPr>
          <w:sz w:val="20"/>
          <w:lang w:eastAsia="en-GB"/>
        </w:rPr>
        <w:t xml:space="preserve">the </w:t>
      </w:r>
      <w:r w:rsidRPr="00356AA1">
        <w:rPr>
          <w:sz w:val="20"/>
          <w:lang w:eastAsia="en-GB"/>
        </w:rPr>
        <w:t>impartiality</w:t>
      </w:r>
      <w:r w:rsidR="007063B4" w:rsidRPr="00356AA1">
        <w:rPr>
          <w:sz w:val="20"/>
          <w:lang w:eastAsia="en-GB"/>
        </w:rPr>
        <w:t xml:space="preserve"> of the </w:t>
      </w:r>
      <w:r w:rsidR="00163CA4">
        <w:rPr>
          <w:sz w:val="20"/>
          <w:lang w:eastAsia="en-GB"/>
        </w:rPr>
        <w:t>HET</w:t>
      </w:r>
      <w:r w:rsidRPr="00356AA1">
        <w:rPr>
          <w:sz w:val="20"/>
          <w:lang w:eastAsia="en-GB"/>
        </w:rPr>
        <w:t xml:space="preserve">, </w:t>
      </w:r>
      <w:r w:rsidR="007063B4" w:rsidRPr="00356AA1">
        <w:rPr>
          <w:sz w:val="20"/>
          <w:lang w:eastAsia="en-GB"/>
        </w:rPr>
        <w:t xml:space="preserve">particularly </w:t>
      </w:r>
      <w:r w:rsidRPr="00356AA1">
        <w:rPr>
          <w:sz w:val="20"/>
          <w:lang w:eastAsia="en-GB"/>
        </w:rPr>
        <w:t>in cases of alleged State collusion.</w:t>
      </w:r>
    </w:p>
    <w:p w:rsidR="00FF4737" w:rsidRPr="00356AA1" w:rsidRDefault="00781044">
      <w:pPr>
        <w:pStyle w:val="SingleTxtG"/>
        <w:rPr>
          <w:sz w:val="20"/>
          <w:lang w:eastAsia="en-GB"/>
        </w:rPr>
      </w:pPr>
      <w:r w:rsidRPr="00356AA1">
        <w:rPr>
          <w:sz w:val="20"/>
          <w:lang w:eastAsia="en-GB"/>
        </w:rPr>
        <w:t>3</w:t>
      </w:r>
      <w:r>
        <w:rPr>
          <w:sz w:val="20"/>
          <w:lang w:eastAsia="en-GB"/>
        </w:rPr>
        <w:t>1</w:t>
      </w:r>
      <w:r w:rsidR="00BB1540" w:rsidRPr="00356AA1">
        <w:rPr>
          <w:sz w:val="20"/>
          <w:lang w:eastAsia="en-GB"/>
        </w:rPr>
        <w:t>.</w:t>
      </w:r>
      <w:r w:rsidR="00BB1540" w:rsidRPr="00356AA1">
        <w:rPr>
          <w:sz w:val="20"/>
          <w:lang w:eastAsia="en-GB"/>
        </w:rPr>
        <w:tab/>
        <w:t xml:space="preserve">The </w:t>
      </w:r>
      <w:r w:rsidR="007063B4" w:rsidRPr="00356AA1">
        <w:rPr>
          <w:sz w:val="20"/>
          <w:lang w:eastAsia="en-GB"/>
        </w:rPr>
        <w:t>H</w:t>
      </w:r>
      <w:r w:rsidR="00163CA4">
        <w:rPr>
          <w:sz w:val="20"/>
          <w:lang w:eastAsia="en-GB"/>
        </w:rPr>
        <w:t>ET</w:t>
      </w:r>
      <w:r w:rsidR="007063B4" w:rsidRPr="00356AA1" w:rsidDel="007063B4">
        <w:rPr>
          <w:sz w:val="20"/>
          <w:lang w:eastAsia="en-GB"/>
        </w:rPr>
        <w:t xml:space="preserve"> </w:t>
      </w:r>
      <w:r w:rsidR="007063B4" w:rsidRPr="00356AA1">
        <w:rPr>
          <w:sz w:val="20"/>
          <w:lang w:eastAsia="en-GB"/>
        </w:rPr>
        <w:t>was shut down</w:t>
      </w:r>
      <w:r w:rsidR="00BB1540" w:rsidRPr="00356AA1">
        <w:rPr>
          <w:sz w:val="20"/>
          <w:lang w:eastAsia="en-GB"/>
        </w:rPr>
        <w:t xml:space="preserve"> in 2014 when a </w:t>
      </w:r>
      <w:r w:rsidR="007063B4" w:rsidRPr="00356AA1">
        <w:rPr>
          <w:sz w:val="20"/>
          <w:lang w:eastAsia="en-GB"/>
        </w:rPr>
        <w:t>British</w:t>
      </w:r>
      <w:r w:rsidR="00BB1540" w:rsidRPr="00356AA1">
        <w:rPr>
          <w:sz w:val="20"/>
          <w:lang w:eastAsia="en-GB"/>
        </w:rPr>
        <w:t xml:space="preserve"> standards inspection report revealed, that as a matter of policy, </w:t>
      </w:r>
      <w:r w:rsidR="007063B4" w:rsidRPr="00356AA1">
        <w:rPr>
          <w:sz w:val="20"/>
          <w:lang w:eastAsia="en-GB"/>
        </w:rPr>
        <w:t xml:space="preserve">the </w:t>
      </w:r>
      <w:r w:rsidR="00163CA4">
        <w:rPr>
          <w:sz w:val="20"/>
          <w:lang w:eastAsia="en-GB"/>
        </w:rPr>
        <w:t>HET</w:t>
      </w:r>
      <w:r w:rsidR="007063B4" w:rsidRPr="00356AA1">
        <w:rPr>
          <w:sz w:val="20"/>
          <w:lang w:eastAsia="en-GB"/>
        </w:rPr>
        <w:t xml:space="preserve"> </w:t>
      </w:r>
      <w:r w:rsidR="00BB1540" w:rsidRPr="00356AA1">
        <w:rPr>
          <w:sz w:val="20"/>
          <w:lang w:eastAsia="en-GB"/>
        </w:rPr>
        <w:t xml:space="preserve">treated </w:t>
      </w:r>
      <w:r w:rsidR="007063B4" w:rsidRPr="00356AA1">
        <w:rPr>
          <w:sz w:val="20"/>
          <w:lang w:eastAsia="en-GB"/>
        </w:rPr>
        <w:t xml:space="preserve">allegations </w:t>
      </w:r>
      <w:r w:rsidR="00BB1540" w:rsidRPr="00356AA1">
        <w:rPr>
          <w:sz w:val="20"/>
          <w:lang w:eastAsia="en-GB"/>
        </w:rPr>
        <w:t xml:space="preserve">of </w:t>
      </w:r>
      <w:r w:rsidR="007063B4" w:rsidRPr="00356AA1">
        <w:rPr>
          <w:sz w:val="20"/>
          <w:lang w:eastAsia="en-GB"/>
        </w:rPr>
        <w:t>S</w:t>
      </w:r>
      <w:r w:rsidR="00BB1540" w:rsidRPr="00356AA1">
        <w:rPr>
          <w:sz w:val="20"/>
          <w:lang w:eastAsia="en-GB"/>
        </w:rPr>
        <w:t xml:space="preserve">tate involvement differently </w:t>
      </w:r>
      <w:r w:rsidR="007063B4" w:rsidRPr="00356AA1">
        <w:rPr>
          <w:sz w:val="20"/>
          <w:lang w:eastAsia="en-GB"/>
        </w:rPr>
        <w:t xml:space="preserve">to those involving </w:t>
      </w:r>
      <w:r w:rsidR="00BB1540" w:rsidRPr="00356AA1">
        <w:rPr>
          <w:sz w:val="20"/>
          <w:lang w:eastAsia="en-GB"/>
        </w:rPr>
        <w:t>non-</w:t>
      </w:r>
      <w:r w:rsidR="007063B4" w:rsidRPr="00356AA1">
        <w:rPr>
          <w:sz w:val="20"/>
          <w:lang w:eastAsia="en-GB"/>
        </w:rPr>
        <w:t>S</w:t>
      </w:r>
      <w:r w:rsidR="00BB1540" w:rsidRPr="00356AA1">
        <w:rPr>
          <w:sz w:val="20"/>
          <w:lang w:eastAsia="en-GB"/>
        </w:rPr>
        <w:t>tate actor</w:t>
      </w:r>
      <w:r w:rsidR="007063B4" w:rsidRPr="00356AA1">
        <w:rPr>
          <w:sz w:val="20"/>
          <w:lang w:eastAsia="en-GB"/>
        </w:rPr>
        <w:t>s</w:t>
      </w:r>
      <w:r w:rsidR="00BB1540" w:rsidRPr="00356AA1">
        <w:rPr>
          <w:sz w:val="20"/>
          <w:lang w:eastAsia="en-GB"/>
        </w:rPr>
        <w:t>.</w:t>
      </w:r>
      <w:r w:rsidR="00BB1540" w:rsidRPr="007950F8">
        <w:rPr>
          <w:rStyle w:val="FootnoteReference"/>
          <w:szCs w:val="18"/>
          <w:lang w:eastAsia="en-GB"/>
        </w:rPr>
        <w:footnoteReference w:id="6"/>
      </w:r>
      <w:r w:rsidR="00BB1540" w:rsidRPr="00356AA1">
        <w:rPr>
          <w:sz w:val="20"/>
          <w:lang w:eastAsia="en-GB"/>
        </w:rPr>
        <w:t xml:space="preserve"> In December 2014, the </w:t>
      </w:r>
      <w:r w:rsidR="003E1569" w:rsidRPr="00356AA1">
        <w:rPr>
          <w:sz w:val="20"/>
          <w:lang w:eastAsia="en-GB"/>
        </w:rPr>
        <w:t xml:space="preserve">Police Service </w:t>
      </w:r>
      <w:r w:rsidR="00BB1540" w:rsidRPr="00356AA1">
        <w:rPr>
          <w:sz w:val="20"/>
          <w:lang w:eastAsia="en-GB"/>
        </w:rPr>
        <w:t xml:space="preserve">established </w:t>
      </w:r>
      <w:r w:rsidR="003E1569" w:rsidRPr="00356AA1">
        <w:rPr>
          <w:sz w:val="20"/>
          <w:lang w:eastAsia="en-GB"/>
        </w:rPr>
        <w:t xml:space="preserve">the </w:t>
      </w:r>
      <w:r w:rsidR="00BB1540" w:rsidRPr="00356AA1">
        <w:rPr>
          <w:sz w:val="20"/>
          <w:lang w:eastAsia="en-GB"/>
        </w:rPr>
        <w:t xml:space="preserve">Legacy Investigation Branch to assume responsibility for the outstanding workload of the </w:t>
      </w:r>
      <w:r w:rsidR="00163CA4">
        <w:rPr>
          <w:sz w:val="20"/>
          <w:lang w:eastAsia="en-GB"/>
        </w:rPr>
        <w:t>HET</w:t>
      </w:r>
      <w:r w:rsidR="00BB1540" w:rsidRPr="00356AA1">
        <w:rPr>
          <w:sz w:val="20"/>
          <w:lang w:eastAsia="en-GB"/>
        </w:rPr>
        <w:t>.</w:t>
      </w:r>
      <w:r>
        <w:rPr>
          <w:sz w:val="20"/>
          <w:lang w:eastAsia="en-GB"/>
        </w:rPr>
        <w:t xml:space="preserve"> </w:t>
      </w:r>
    </w:p>
    <w:p w:rsidR="00FF4737" w:rsidRPr="00403AE5" w:rsidRDefault="00BB1540" w:rsidP="00356AA1">
      <w:pPr>
        <w:pStyle w:val="H23G"/>
        <w:spacing w:line="240" w:lineRule="atLeast"/>
        <w:rPr>
          <w:sz w:val="20"/>
          <w:szCs w:val="20"/>
          <w:lang w:eastAsia="en-GB"/>
        </w:rPr>
      </w:pPr>
      <w:r w:rsidRPr="00403AE5">
        <w:rPr>
          <w:sz w:val="20"/>
          <w:szCs w:val="20"/>
          <w:lang w:eastAsia="en-GB"/>
        </w:rPr>
        <w:tab/>
      </w:r>
      <w:r w:rsidR="00963168" w:rsidRPr="00403AE5">
        <w:rPr>
          <w:sz w:val="20"/>
          <w:szCs w:val="20"/>
          <w:lang w:eastAsia="en-GB"/>
        </w:rPr>
        <w:t>4.</w:t>
      </w:r>
      <w:r w:rsidRPr="00403AE5">
        <w:rPr>
          <w:sz w:val="20"/>
          <w:szCs w:val="20"/>
          <w:lang w:eastAsia="en-GB"/>
        </w:rPr>
        <w:tab/>
        <w:t xml:space="preserve">Office of the Police Ombudsman </w:t>
      </w:r>
    </w:p>
    <w:p w:rsidR="00FF4737" w:rsidRPr="00356AA1" w:rsidRDefault="00BB1540">
      <w:pPr>
        <w:pStyle w:val="SingleTxtG"/>
        <w:rPr>
          <w:sz w:val="20"/>
          <w:lang w:eastAsia="en-GB"/>
        </w:rPr>
      </w:pPr>
      <w:r w:rsidRPr="00356AA1">
        <w:rPr>
          <w:sz w:val="20"/>
          <w:lang w:eastAsia="en-GB"/>
        </w:rPr>
        <w:t>3</w:t>
      </w:r>
      <w:r w:rsidR="00781044">
        <w:rPr>
          <w:sz w:val="20"/>
          <w:lang w:eastAsia="en-GB"/>
        </w:rPr>
        <w:t>2</w:t>
      </w:r>
      <w:r w:rsidRPr="00356AA1">
        <w:rPr>
          <w:sz w:val="20"/>
          <w:lang w:eastAsia="en-GB"/>
        </w:rPr>
        <w:t>.</w:t>
      </w:r>
      <w:r w:rsidRPr="00356AA1">
        <w:rPr>
          <w:sz w:val="20"/>
          <w:lang w:eastAsia="en-GB"/>
        </w:rPr>
        <w:tab/>
        <w:t>The Office of the Police Ombudsman in Northern Ireland</w:t>
      </w:r>
      <w:r w:rsidR="003E1569" w:rsidRPr="00356AA1">
        <w:rPr>
          <w:sz w:val="20"/>
          <w:lang w:eastAsia="en-GB"/>
        </w:rPr>
        <w:t>,</w:t>
      </w:r>
      <w:r w:rsidRPr="00356AA1">
        <w:rPr>
          <w:sz w:val="20"/>
          <w:lang w:eastAsia="en-GB"/>
        </w:rPr>
        <w:t xml:space="preserve"> established in 2000</w:t>
      </w:r>
      <w:r w:rsidR="003E1569" w:rsidRPr="00356AA1">
        <w:rPr>
          <w:sz w:val="20"/>
          <w:lang w:eastAsia="en-GB"/>
        </w:rPr>
        <w:t>,</w:t>
      </w:r>
      <w:r w:rsidRPr="00356AA1">
        <w:rPr>
          <w:sz w:val="20"/>
          <w:lang w:eastAsia="en-GB"/>
        </w:rPr>
        <w:t xml:space="preserve"> addresses complaints of past misconduct. </w:t>
      </w:r>
      <w:r w:rsidR="0045220D" w:rsidRPr="00356AA1">
        <w:rPr>
          <w:sz w:val="20"/>
          <w:lang w:eastAsia="en-GB"/>
        </w:rPr>
        <w:t xml:space="preserve">It </w:t>
      </w:r>
      <w:r w:rsidRPr="00356AA1">
        <w:rPr>
          <w:sz w:val="20"/>
          <w:lang w:eastAsia="en-GB"/>
        </w:rPr>
        <w:t>instituted reforms to ensure confidence in and the credibility of its work, including clear procedures and ease of access; the right to be heard; independent investigation, with right of reply by those under investigation; greater access to documents, including those of intelligence agencies; publication of its reports; and enhanced communication with victims’ families through a dedicated professional service.</w:t>
      </w:r>
      <w:r w:rsidR="0045220D" w:rsidRPr="00356AA1">
        <w:rPr>
          <w:sz w:val="20"/>
          <w:lang w:eastAsia="en-GB"/>
        </w:rPr>
        <w:t xml:space="preserve"> L</w:t>
      </w:r>
      <w:r w:rsidRPr="00356AA1">
        <w:rPr>
          <w:sz w:val="20"/>
          <w:lang w:eastAsia="en-GB"/>
        </w:rPr>
        <w:t xml:space="preserve">imitations </w:t>
      </w:r>
      <w:r w:rsidR="0045220D" w:rsidRPr="00356AA1">
        <w:rPr>
          <w:sz w:val="20"/>
          <w:lang w:eastAsia="en-GB"/>
        </w:rPr>
        <w:t xml:space="preserve">nevertheless </w:t>
      </w:r>
      <w:r w:rsidRPr="00356AA1">
        <w:rPr>
          <w:sz w:val="20"/>
          <w:lang w:eastAsia="en-GB"/>
        </w:rPr>
        <w:t xml:space="preserve">remain, </w:t>
      </w:r>
      <w:r w:rsidR="0045220D" w:rsidRPr="00356AA1">
        <w:rPr>
          <w:sz w:val="20"/>
          <w:lang w:eastAsia="en-GB"/>
        </w:rPr>
        <w:t xml:space="preserve">such as </w:t>
      </w:r>
      <w:r w:rsidRPr="00356AA1">
        <w:rPr>
          <w:sz w:val="20"/>
          <w:lang w:eastAsia="en-GB"/>
        </w:rPr>
        <w:t xml:space="preserve">its inability to compel police testimony or </w:t>
      </w:r>
      <w:r w:rsidR="0045220D" w:rsidRPr="00356AA1">
        <w:rPr>
          <w:sz w:val="20"/>
          <w:lang w:eastAsia="en-GB"/>
        </w:rPr>
        <w:t xml:space="preserve">to </w:t>
      </w:r>
      <w:r w:rsidRPr="00356AA1">
        <w:rPr>
          <w:sz w:val="20"/>
          <w:lang w:eastAsia="en-GB"/>
        </w:rPr>
        <w:t xml:space="preserve">investigate military and security services or civilians who </w:t>
      </w:r>
      <w:r w:rsidR="0045220D" w:rsidRPr="00356AA1">
        <w:rPr>
          <w:sz w:val="20"/>
          <w:lang w:eastAsia="en-GB"/>
        </w:rPr>
        <w:t xml:space="preserve">have </w:t>
      </w:r>
      <w:r w:rsidRPr="00356AA1">
        <w:rPr>
          <w:sz w:val="20"/>
          <w:lang w:eastAsia="en-GB"/>
        </w:rPr>
        <w:t>collaborated with the police (</w:t>
      </w:r>
      <w:r w:rsidR="0045220D" w:rsidRPr="00356AA1">
        <w:rPr>
          <w:sz w:val="20"/>
          <w:lang w:eastAsia="en-GB"/>
        </w:rPr>
        <w:t xml:space="preserve">for example, </w:t>
      </w:r>
      <w:r w:rsidRPr="00356AA1">
        <w:rPr>
          <w:sz w:val="20"/>
          <w:lang w:eastAsia="en-GB"/>
        </w:rPr>
        <w:t>informants).</w:t>
      </w:r>
    </w:p>
    <w:p w:rsidR="00FF4737" w:rsidRPr="00356AA1" w:rsidRDefault="00BB1540">
      <w:pPr>
        <w:pStyle w:val="SingleTxtG"/>
        <w:rPr>
          <w:sz w:val="20"/>
          <w:lang w:eastAsia="en-GB"/>
        </w:rPr>
      </w:pPr>
      <w:r w:rsidRPr="00356AA1">
        <w:rPr>
          <w:sz w:val="20"/>
          <w:lang w:eastAsia="en-GB"/>
        </w:rPr>
        <w:t>3</w:t>
      </w:r>
      <w:r w:rsidR="00781044">
        <w:rPr>
          <w:sz w:val="20"/>
          <w:lang w:eastAsia="en-GB"/>
        </w:rPr>
        <w:t>3</w:t>
      </w:r>
      <w:r w:rsidRPr="00356AA1">
        <w:rPr>
          <w:sz w:val="20"/>
          <w:lang w:eastAsia="en-GB"/>
        </w:rPr>
        <w:t>.</w:t>
      </w:r>
      <w:r w:rsidRPr="00356AA1">
        <w:rPr>
          <w:sz w:val="20"/>
          <w:lang w:eastAsia="en-GB"/>
        </w:rPr>
        <w:tab/>
        <w:t xml:space="preserve">While the caseload </w:t>
      </w:r>
      <w:r w:rsidR="0045220D" w:rsidRPr="00356AA1">
        <w:rPr>
          <w:sz w:val="20"/>
          <w:lang w:eastAsia="en-GB"/>
        </w:rPr>
        <w:t xml:space="preserve">of the Office of the Police Ombudsman </w:t>
      </w:r>
      <w:r w:rsidRPr="00356AA1">
        <w:rPr>
          <w:sz w:val="20"/>
          <w:lang w:eastAsia="en-GB"/>
        </w:rPr>
        <w:t>has</w:t>
      </w:r>
      <w:r w:rsidR="0045220D" w:rsidRPr="00356AA1">
        <w:rPr>
          <w:sz w:val="20"/>
          <w:lang w:eastAsia="en-GB"/>
        </w:rPr>
        <w:t>,</w:t>
      </w:r>
      <w:r w:rsidRPr="00356AA1">
        <w:rPr>
          <w:sz w:val="20"/>
          <w:lang w:eastAsia="en-GB"/>
        </w:rPr>
        <w:t xml:space="preserve"> </w:t>
      </w:r>
      <w:r w:rsidR="0045220D" w:rsidRPr="00356AA1">
        <w:rPr>
          <w:sz w:val="20"/>
          <w:lang w:eastAsia="en-GB"/>
        </w:rPr>
        <w:t xml:space="preserve">since it began addressing historical cases, </w:t>
      </w:r>
      <w:r w:rsidRPr="00356AA1">
        <w:rPr>
          <w:sz w:val="20"/>
          <w:lang w:eastAsia="en-GB"/>
        </w:rPr>
        <w:t xml:space="preserve">steadily increased to </w:t>
      </w:r>
      <w:r w:rsidR="0045220D" w:rsidRPr="00356AA1">
        <w:rPr>
          <w:sz w:val="20"/>
          <w:lang w:eastAsia="en-GB"/>
        </w:rPr>
        <w:t>more than</w:t>
      </w:r>
      <w:r w:rsidRPr="00356AA1">
        <w:rPr>
          <w:sz w:val="20"/>
          <w:lang w:eastAsia="en-GB"/>
        </w:rPr>
        <w:t xml:space="preserve"> 300 cases</w:t>
      </w:r>
      <w:r w:rsidR="0045220D" w:rsidRPr="00356AA1">
        <w:rPr>
          <w:sz w:val="20"/>
          <w:lang w:eastAsia="en-GB"/>
        </w:rPr>
        <w:t xml:space="preserve"> today</w:t>
      </w:r>
      <w:r w:rsidRPr="00356AA1">
        <w:rPr>
          <w:sz w:val="20"/>
          <w:lang w:eastAsia="en-GB"/>
        </w:rPr>
        <w:t xml:space="preserve">, its funding has progressively and </w:t>
      </w:r>
      <w:r w:rsidR="0045220D" w:rsidRPr="00356AA1">
        <w:rPr>
          <w:sz w:val="20"/>
          <w:lang w:eastAsia="en-GB"/>
        </w:rPr>
        <w:t>substantially</w:t>
      </w:r>
      <w:r w:rsidRPr="00356AA1">
        <w:rPr>
          <w:sz w:val="20"/>
          <w:lang w:eastAsia="en-GB"/>
        </w:rPr>
        <w:t xml:space="preserve"> declined.</w:t>
      </w:r>
    </w:p>
    <w:p w:rsidR="00FF4737" w:rsidRPr="00403AE5" w:rsidRDefault="00BB1540" w:rsidP="00356AA1">
      <w:pPr>
        <w:pStyle w:val="H23G"/>
        <w:spacing w:line="240" w:lineRule="atLeast"/>
        <w:rPr>
          <w:sz w:val="20"/>
          <w:szCs w:val="20"/>
          <w:lang w:eastAsia="en-GB"/>
        </w:rPr>
      </w:pPr>
      <w:r w:rsidRPr="00403AE5">
        <w:rPr>
          <w:sz w:val="20"/>
          <w:szCs w:val="20"/>
          <w:lang w:eastAsia="en-GB"/>
        </w:rPr>
        <w:tab/>
      </w:r>
      <w:r w:rsidR="00963168" w:rsidRPr="00403AE5">
        <w:rPr>
          <w:sz w:val="20"/>
          <w:szCs w:val="20"/>
          <w:lang w:eastAsia="en-GB"/>
        </w:rPr>
        <w:t>5.</w:t>
      </w:r>
      <w:r w:rsidRPr="00403AE5">
        <w:rPr>
          <w:sz w:val="20"/>
          <w:szCs w:val="20"/>
          <w:lang w:eastAsia="en-GB"/>
        </w:rPr>
        <w:tab/>
        <w:t>Independent Commission for the Location of Victims’ Remains</w:t>
      </w:r>
    </w:p>
    <w:p w:rsidR="00FF4737" w:rsidRPr="00356AA1" w:rsidRDefault="00BB1540">
      <w:pPr>
        <w:pStyle w:val="SingleTxtG"/>
        <w:rPr>
          <w:sz w:val="20"/>
          <w:lang w:eastAsia="en-GB"/>
        </w:rPr>
      </w:pPr>
      <w:r w:rsidRPr="00356AA1">
        <w:rPr>
          <w:sz w:val="20"/>
          <w:lang w:eastAsia="en-GB"/>
        </w:rPr>
        <w:t>3</w:t>
      </w:r>
      <w:r w:rsidR="00781044">
        <w:rPr>
          <w:sz w:val="20"/>
          <w:lang w:eastAsia="en-GB"/>
        </w:rPr>
        <w:t>4</w:t>
      </w:r>
      <w:r w:rsidRPr="00356AA1">
        <w:rPr>
          <w:sz w:val="20"/>
          <w:lang w:eastAsia="en-GB"/>
        </w:rPr>
        <w:t>.</w:t>
      </w:r>
      <w:r w:rsidRPr="00356AA1">
        <w:rPr>
          <w:sz w:val="20"/>
          <w:lang w:eastAsia="en-GB"/>
        </w:rPr>
        <w:tab/>
        <w:t xml:space="preserve">Established as a statutory body by an intergovernmental agreement </w:t>
      </w:r>
      <w:r w:rsidR="0045220D" w:rsidRPr="00356AA1">
        <w:rPr>
          <w:sz w:val="20"/>
          <w:lang w:eastAsia="en-GB"/>
        </w:rPr>
        <w:t xml:space="preserve">signed by </w:t>
      </w:r>
      <w:r w:rsidRPr="00356AA1">
        <w:rPr>
          <w:sz w:val="20"/>
          <w:lang w:eastAsia="en-GB"/>
        </w:rPr>
        <w:t xml:space="preserve">the Governments </w:t>
      </w:r>
      <w:r w:rsidR="0045220D" w:rsidRPr="00356AA1">
        <w:rPr>
          <w:sz w:val="20"/>
          <w:lang w:eastAsia="en-GB"/>
        </w:rPr>
        <w:t xml:space="preserve">of Ireland and of the United Kingdom </w:t>
      </w:r>
      <w:r w:rsidRPr="00356AA1">
        <w:rPr>
          <w:sz w:val="20"/>
          <w:lang w:eastAsia="en-GB"/>
        </w:rPr>
        <w:t xml:space="preserve">in 1999, the </w:t>
      </w:r>
      <w:r w:rsidR="00A44AD3" w:rsidRPr="00356AA1">
        <w:rPr>
          <w:sz w:val="20"/>
          <w:lang w:eastAsia="en-GB"/>
        </w:rPr>
        <w:t xml:space="preserve">Independent </w:t>
      </w:r>
      <w:r w:rsidRPr="00356AA1">
        <w:rPr>
          <w:sz w:val="20"/>
          <w:lang w:eastAsia="en-GB"/>
        </w:rPr>
        <w:t xml:space="preserve">Commission </w:t>
      </w:r>
      <w:r w:rsidR="00A44AD3" w:rsidRPr="00356AA1">
        <w:rPr>
          <w:sz w:val="20"/>
          <w:lang w:eastAsia="en-GB"/>
        </w:rPr>
        <w:t xml:space="preserve">for the Location of Victims’ Remains </w:t>
      </w:r>
      <w:r w:rsidRPr="00356AA1">
        <w:rPr>
          <w:sz w:val="20"/>
          <w:lang w:eastAsia="en-GB"/>
        </w:rPr>
        <w:t xml:space="preserve">gathers information </w:t>
      </w:r>
      <w:r w:rsidR="00A44AD3" w:rsidRPr="00356AA1">
        <w:rPr>
          <w:sz w:val="20"/>
          <w:lang w:eastAsia="en-GB"/>
        </w:rPr>
        <w:t xml:space="preserve">used </w:t>
      </w:r>
      <w:r w:rsidRPr="00356AA1">
        <w:rPr>
          <w:sz w:val="20"/>
          <w:lang w:eastAsia="en-GB"/>
        </w:rPr>
        <w:t xml:space="preserve">to locate the remains of victims of enforced disappearances perpetrated by paramilitaries during the Troubles. No information </w:t>
      </w:r>
      <w:r w:rsidR="00A44AD3" w:rsidRPr="00356AA1">
        <w:rPr>
          <w:sz w:val="20"/>
          <w:lang w:eastAsia="en-GB"/>
        </w:rPr>
        <w:t xml:space="preserve">may </w:t>
      </w:r>
      <w:r w:rsidRPr="00356AA1">
        <w:rPr>
          <w:sz w:val="20"/>
          <w:lang w:eastAsia="en-GB"/>
        </w:rPr>
        <w:t xml:space="preserve">be used in criminal proceedings. </w:t>
      </w:r>
      <w:r w:rsidR="00A44AD3" w:rsidRPr="00356AA1">
        <w:rPr>
          <w:sz w:val="20"/>
          <w:lang w:eastAsia="en-GB"/>
        </w:rPr>
        <w:t xml:space="preserve">In </w:t>
      </w:r>
      <w:r w:rsidRPr="00356AA1">
        <w:rPr>
          <w:sz w:val="20"/>
          <w:lang w:eastAsia="en-GB"/>
        </w:rPr>
        <w:t xml:space="preserve">the 16 cases it </w:t>
      </w:r>
      <w:r w:rsidR="003659F1">
        <w:rPr>
          <w:sz w:val="20"/>
          <w:lang w:eastAsia="en-GB"/>
        </w:rPr>
        <w:t>has</w:t>
      </w:r>
      <w:r w:rsidR="003659F1" w:rsidRPr="00356AA1">
        <w:rPr>
          <w:sz w:val="20"/>
          <w:lang w:eastAsia="en-GB"/>
        </w:rPr>
        <w:t xml:space="preserve"> </w:t>
      </w:r>
      <w:r w:rsidR="00A44AD3" w:rsidRPr="00356AA1">
        <w:rPr>
          <w:sz w:val="20"/>
          <w:lang w:eastAsia="en-GB"/>
        </w:rPr>
        <w:t>examined to date</w:t>
      </w:r>
      <w:r w:rsidRPr="00356AA1">
        <w:rPr>
          <w:sz w:val="20"/>
          <w:lang w:eastAsia="en-GB"/>
        </w:rPr>
        <w:t xml:space="preserve">, </w:t>
      </w:r>
      <w:r w:rsidRPr="00356AA1">
        <w:rPr>
          <w:sz w:val="20"/>
          <w:lang w:eastAsia="en-GB"/>
        </w:rPr>
        <w:lastRenderedPageBreak/>
        <w:t xml:space="preserve">its work has led to the recovery of </w:t>
      </w:r>
      <w:r w:rsidR="00A44AD3" w:rsidRPr="00356AA1">
        <w:rPr>
          <w:sz w:val="20"/>
          <w:lang w:eastAsia="en-GB"/>
        </w:rPr>
        <w:t xml:space="preserve">10 </w:t>
      </w:r>
      <w:r w:rsidRPr="00356AA1">
        <w:rPr>
          <w:sz w:val="20"/>
          <w:lang w:eastAsia="en-GB"/>
        </w:rPr>
        <w:t xml:space="preserve">bodies. Two </w:t>
      </w:r>
      <w:r w:rsidR="003659F1">
        <w:rPr>
          <w:sz w:val="20"/>
          <w:lang w:eastAsia="en-GB"/>
        </w:rPr>
        <w:t xml:space="preserve">other </w:t>
      </w:r>
      <w:r w:rsidRPr="00356AA1">
        <w:rPr>
          <w:sz w:val="20"/>
          <w:lang w:eastAsia="en-GB"/>
        </w:rPr>
        <w:t xml:space="preserve">bodies have been recovered outside of the </w:t>
      </w:r>
      <w:r w:rsidR="003659F1">
        <w:rPr>
          <w:sz w:val="20"/>
          <w:lang w:eastAsia="en-GB"/>
        </w:rPr>
        <w:t xml:space="preserve">scope of the </w:t>
      </w:r>
      <w:r w:rsidRPr="00356AA1">
        <w:rPr>
          <w:sz w:val="20"/>
          <w:lang w:eastAsia="en-GB"/>
        </w:rPr>
        <w:t xml:space="preserve">Commission’s </w:t>
      </w:r>
      <w:r w:rsidR="003659F1">
        <w:rPr>
          <w:sz w:val="20"/>
          <w:lang w:eastAsia="en-GB"/>
        </w:rPr>
        <w:t>work</w:t>
      </w:r>
      <w:r w:rsidRPr="00356AA1">
        <w:rPr>
          <w:sz w:val="20"/>
          <w:lang w:eastAsia="en-GB"/>
        </w:rPr>
        <w:t xml:space="preserve">. </w:t>
      </w:r>
    </w:p>
    <w:p w:rsidR="00FF4737" w:rsidRPr="00FF4737" w:rsidRDefault="001B20BA" w:rsidP="00356AA1">
      <w:pPr>
        <w:pStyle w:val="H1G"/>
        <w:spacing w:line="240" w:lineRule="atLeast"/>
        <w:rPr>
          <w:lang w:eastAsia="en-GB"/>
        </w:rPr>
      </w:pPr>
      <w:r w:rsidRPr="00FF4737">
        <w:rPr>
          <w:lang w:eastAsia="en-GB"/>
        </w:rPr>
        <w:tab/>
        <w:t>B.</w:t>
      </w:r>
      <w:r w:rsidRPr="00FF4737">
        <w:rPr>
          <w:lang w:eastAsia="en-GB"/>
        </w:rPr>
        <w:tab/>
      </w:r>
      <w:r w:rsidR="00BB74F6">
        <w:rPr>
          <w:lang w:eastAsia="en-GB"/>
        </w:rPr>
        <w:t>C</w:t>
      </w:r>
      <w:r w:rsidRPr="00FF4737">
        <w:rPr>
          <w:lang w:eastAsia="en-GB"/>
        </w:rPr>
        <w:t xml:space="preserve">hallenges </w:t>
      </w:r>
      <w:r w:rsidR="00A44AD3" w:rsidRPr="00FF4737">
        <w:rPr>
          <w:lang w:eastAsia="en-GB"/>
        </w:rPr>
        <w:t xml:space="preserve">to </w:t>
      </w:r>
      <w:r w:rsidRPr="00FF4737">
        <w:rPr>
          <w:lang w:eastAsia="en-GB"/>
        </w:rPr>
        <w:t>truth-seeking mechanisms</w:t>
      </w:r>
    </w:p>
    <w:p w:rsidR="00FF4737" w:rsidRPr="00403AE5" w:rsidRDefault="00403AE5" w:rsidP="00403AE5">
      <w:pPr>
        <w:pStyle w:val="H23G"/>
        <w:rPr>
          <w:sz w:val="20"/>
          <w:szCs w:val="20"/>
        </w:rPr>
      </w:pPr>
      <w:r w:rsidRPr="00403AE5">
        <w:rPr>
          <w:sz w:val="20"/>
          <w:szCs w:val="20"/>
        </w:rPr>
        <w:tab/>
      </w:r>
      <w:r w:rsidR="00716894" w:rsidRPr="00403AE5">
        <w:rPr>
          <w:sz w:val="20"/>
          <w:szCs w:val="20"/>
        </w:rPr>
        <w:t>1.</w:t>
      </w:r>
      <w:r w:rsidR="00716894" w:rsidRPr="00403AE5">
        <w:rPr>
          <w:sz w:val="20"/>
          <w:szCs w:val="20"/>
        </w:rPr>
        <w:tab/>
      </w:r>
      <w:r w:rsidR="001B20BA" w:rsidRPr="00403AE5">
        <w:rPr>
          <w:sz w:val="20"/>
          <w:szCs w:val="20"/>
        </w:rPr>
        <w:t xml:space="preserve">Event-based approach </w:t>
      </w:r>
    </w:p>
    <w:p w:rsidR="00FF4737" w:rsidRPr="00356AA1" w:rsidRDefault="001B20BA">
      <w:pPr>
        <w:pStyle w:val="SingleTxtG"/>
        <w:rPr>
          <w:sz w:val="20"/>
          <w:lang w:eastAsia="en-GB"/>
        </w:rPr>
      </w:pPr>
      <w:r w:rsidRPr="00356AA1">
        <w:rPr>
          <w:sz w:val="20"/>
          <w:lang w:eastAsia="en-GB"/>
        </w:rPr>
        <w:t>3</w:t>
      </w:r>
      <w:r w:rsidR="00781044">
        <w:rPr>
          <w:sz w:val="20"/>
          <w:lang w:eastAsia="en-GB"/>
        </w:rPr>
        <w:t>5</w:t>
      </w:r>
      <w:r w:rsidRPr="00356AA1">
        <w:rPr>
          <w:sz w:val="20"/>
          <w:lang w:eastAsia="en-GB"/>
        </w:rPr>
        <w:t>.</w:t>
      </w:r>
      <w:r w:rsidRPr="00356AA1">
        <w:rPr>
          <w:sz w:val="20"/>
          <w:lang w:eastAsia="en-GB"/>
        </w:rPr>
        <w:tab/>
        <w:t xml:space="preserve">The investigative mechanisms described above are designed to clarify a particular event, not to reveal structural or systemic aspects of violations, including patterns replicated in similar incidents, or other underlying factors, such as chains of command, orders or policies. </w:t>
      </w:r>
    </w:p>
    <w:p w:rsidR="00FF4737" w:rsidRPr="00356AA1" w:rsidRDefault="001B20BA">
      <w:pPr>
        <w:pStyle w:val="SingleTxtG"/>
        <w:rPr>
          <w:sz w:val="20"/>
          <w:lang w:eastAsia="en-GB"/>
        </w:rPr>
      </w:pPr>
      <w:r w:rsidRPr="00356AA1">
        <w:rPr>
          <w:sz w:val="20"/>
          <w:lang w:eastAsia="en-GB"/>
        </w:rPr>
        <w:t>3</w:t>
      </w:r>
      <w:r w:rsidR="00781044">
        <w:rPr>
          <w:sz w:val="20"/>
          <w:lang w:eastAsia="en-GB"/>
        </w:rPr>
        <w:t>6</w:t>
      </w:r>
      <w:r w:rsidRPr="00356AA1">
        <w:rPr>
          <w:sz w:val="20"/>
          <w:lang w:eastAsia="en-GB"/>
        </w:rPr>
        <w:t>.</w:t>
      </w:r>
      <w:r w:rsidRPr="00356AA1">
        <w:rPr>
          <w:sz w:val="20"/>
          <w:lang w:eastAsia="en-GB"/>
        </w:rPr>
        <w:tab/>
        <w:t xml:space="preserve">Event-based measures do not necessarily </w:t>
      </w:r>
      <w:r w:rsidR="00A44AD3" w:rsidRPr="00356AA1">
        <w:rPr>
          <w:sz w:val="20"/>
          <w:lang w:eastAsia="en-GB"/>
        </w:rPr>
        <w:t xml:space="preserve">make a </w:t>
      </w:r>
      <w:r w:rsidRPr="00356AA1">
        <w:rPr>
          <w:sz w:val="20"/>
          <w:lang w:eastAsia="en-GB"/>
        </w:rPr>
        <w:t>systematic assessment of cross-cutting thematic issues. The gender-related impact of violations and abuses has been understudied at an official level.</w:t>
      </w:r>
      <w:r w:rsidR="00781044">
        <w:rPr>
          <w:sz w:val="20"/>
          <w:lang w:eastAsia="en-GB"/>
        </w:rPr>
        <w:t xml:space="preserve"> </w:t>
      </w:r>
      <w:r w:rsidR="00A44AD3" w:rsidRPr="00356AA1">
        <w:rPr>
          <w:sz w:val="20"/>
          <w:lang w:eastAsia="en-GB"/>
        </w:rPr>
        <w:t xml:space="preserve">Given the State’s ambiguity with regard to the classification of the Troubles, Security Council </w:t>
      </w:r>
      <w:r w:rsidRPr="00356AA1">
        <w:rPr>
          <w:sz w:val="20"/>
          <w:lang w:eastAsia="en-GB"/>
        </w:rPr>
        <w:t xml:space="preserve">resolution 1325 </w:t>
      </w:r>
      <w:r w:rsidR="00A44AD3" w:rsidRPr="00356AA1">
        <w:rPr>
          <w:sz w:val="20"/>
          <w:lang w:eastAsia="en-GB"/>
        </w:rPr>
        <w:t xml:space="preserve">(2000) </w:t>
      </w:r>
      <w:r w:rsidRPr="00356AA1">
        <w:rPr>
          <w:sz w:val="20"/>
          <w:lang w:eastAsia="en-GB"/>
        </w:rPr>
        <w:t xml:space="preserve">and related policy recommendations </w:t>
      </w:r>
      <w:r w:rsidR="00A44AD3" w:rsidRPr="00356AA1">
        <w:rPr>
          <w:sz w:val="20"/>
          <w:lang w:eastAsia="en-GB"/>
        </w:rPr>
        <w:t>cannot be</w:t>
      </w:r>
      <w:r w:rsidRPr="00356AA1">
        <w:rPr>
          <w:sz w:val="20"/>
          <w:lang w:eastAsia="en-GB"/>
        </w:rPr>
        <w:t xml:space="preserve"> applied to N</w:t>
      </w:r>
      <w:r w:rsidR="00A44AD3" w:rsidRPr="00356AA1">
        <w:rPr>
          <w:sz w:val="20"/>
          <w:lang w:eastAsia="en-GB"/>
        </w:rPr>
        <w:t xml:space="preserve">orthern </w:t>
      </w:r>
      <w:r w:rsidRPr="00356AA1">
        <w:rPr>
          <w:sz w:val="20"/>
          <w:lang w:eastAsia="en-GB"/>
        </w:rPr>
        <w:t>I</w:t>
      </w:r>
      <w:r w:rsidR="00A44AD3" w:rsidRPr="00356AA1">
        <w:rPr>
          <w:sz w:val="20"/>
          <w:lang w:eastAsia="en-GB"/>
        </w:rPr>
        <w:t xml:space="preserve">reland. </w:t>
      </w:r>
      <w:r w:rsidRPr="00356AA1">
        <w:rPr>
          <w:sz w:val="20"/>
          <w:lang w:eastAsia="en-GB"/>
        </w:rPr>
        <w:t xml:space="preserve">More sustained and thorough analysis of ways in which the impact of violations and abuses manifests itself in the lives of women is required. Various initiatives undertaken by civil society and academia on this issue are </w:t>
      </w:r>
      <w:r w:rsidR="00A44AD3" w:rsidRPr="00356AA1">
        <w:rPr>
          <w:sz w:val="20"/>
          <w:lang w:eastAsia="en-GB"/>
        </w:rPr>
        <w:t xml:space="preserve">to be </w:t>
      </w:r>
      <w:r w:rsidRPr="00356AA1">
        <w:rPr>
          <w:sz w:val="20"/>
          <w:lang w:eastAsia="en-GB"/>
        </w:rPr>
        <w:t>commend</w:t>
      </w:r>
      <w:r w:rsidR="00A44AD3" w:rsidRPr="00356AA1">
        <w:rPr>
          <w:sz w:val="20"/>
          <w:lang w:eastAsia="en-GB"/>
        </w:rPr>
        <w:t>ed</w:t>
      </w:r>
      <w:r w:rsidRPr="00356AA1">
        <w:rPr>
          <w:sz w:val="20"/>
          <w:lang w:eastAsia="en-GB"/>
        </w:rPr>
        <w:t>.</w:t>
      </w:r>
    </w:p>
    <w:p w:rsidR="00FF4737" w:rsidRPr="00356AA1" w:rsidRDefault="001B20BA" w:rsidP="00356AA1">
      <w:pPr>
        <w:pStyle w:val="H23G"/>
        <w:spacing w:line="240" w:lineRule="atLeast"/>
        <w:rPr>
          <w:sz w:val="20"/>
          <w:lang w:eastAsia="en-GB"/>
        </w:rPr>
      </w:pPr>
      <w:r w:rsidRPr="00356AA1">
        <w:rPr>
          <w:sz w:val="20"/>
          <w:lang w:eastAsia="en-GB"/>
        </w:rPr>
        <w:tab/>
        <w:t>2.</w:t>
      </w:r>
      <w:r w:rsidRPr="00356AA1">
        <w:rPr>
          <w:sz w:val="20"/>
          <w:lang w:eastAsia="en-GB"/>
        </w:rPr>
        <w:tab/>
        <w:t xml:space="preserve">Ad </w:t>
      </w:r>
      <w:proofErr w:type="spellStart"/>
      <w:r w:rsidRPr="00356AA1">
        <w:rPr>
          <w:sz w:val="20"/>
          <w:lang w:eastAsia="en-GB"/>
        </w:rPr>
        <w:t>hocism</w:t>
      </w:r>
      <w:proofErr w:type="spellEnd"/>
    </w:p>
    <w:p w:rsidR="00FF4737" w:rsidRPr="00356AA1" w:rsidRDefault="001B20BA">
      <w:pPr>
        <w:pStyle w:val="SingleTxtG"/>
        <w:rPr>
          <w:sz w:val="20"/>
          <w:lang w:eastAsia="en-GB"/>
        </w:rPr>
      </w:pPr>
      <w:r w:rsidRPr="00356AA1">
        <w:rPr>
          <w:sz w:val="20"/>
          <w:lang w:eastAsia="en-GB"/>
        </w:rPr>
        <w:t>3</w:t>
      </w:r>
      <w:r w:rsidR="00781044">
        <w:rPr>
          <w:sz w:val="20"/>
          <w:lang w:eastAsia="en-GB"/>
        </w:rPr>
        <w:t>7</w:t>
      </w:r>
      <w:r w:rsidRPr="00356AA1">
        <w:rPr>
          <w:sz w:val="20"/>
          <w:lang w:eastAsia="en-GB"/>
        </w:rPr>
        <w:t>.</w:t>
      </w:r>
      <w:r w:rsidRPr="00356AA1">
        <w:rPr>
          <w:sz w:val="20"/>
          <w:lang w:eastAsia="en-GB"/>
        </w:rPr>
        <w:tab/>
        <w:t xml:space="preserve">The </w:t>
      </w:r>
      <w:r w:rsidR="00A44AD3" w:rsidRPr="00356AA1">
        <w:rPr>
          <w:sz w:val="20"/>
          <w:lang w:eastAsia="en-GB"/>
        </w:rPr>
        <w:t xml:space="preserve">above-described </w:t>
      </w:r>
      <w:r w:rsidRPr="00356AA1">
        <w:rPr>
          <w:sz w:val="20"/>
          <w:lang w:eastAsia="en-GB"/>
        </w:rPr>
        <w:t>mechanisms</w:t>
      </w:r>
      <w:r w:rsidR="00A44AD3" w:rsidRPr="00356AA1">
        <w:rPr>
          <w:sz w:val="20"/>
          <w:lang w:eastAsia="en-GB"/>
        </w:rPr>
        <w:t xml:space="preserve"> are</w:t>
      </w:r>
      <w:r w:rsidRPr="00356AA1">
        <w:rPr>
          <w:sz w:val="20"/>
          <w:lang w:eastAsia="en-GB"/>
        </w:rPr>
        <w:t xml:space="preserve">, generally, ad hoc or function in an ad hoc manner, requiring a particular decision on the part of authorities to trigger them. </w:t>
      </w:r>
      <w:r w:rsidR="00A44AD3" w:rsidRPr="00356AA1">
        <w:rPr>
          <w:sz w:val="20"/>
          <w:lang w:eastAsia="en-GB"/>
        </w:rPr>
        <w:t>Like</w:t>
      </w:r>
      <w:r w:rsidRPr="00356AA1">
        <w:rPr>
          <w:sz w:val="20"/>
          <w:lang w:eastAsia="en-GB"/>
        </w:rPr>
        <w:t xml:space="preserve"> all ad hoc mechanisms, the</w:t>
      </w:r>
      <w:r w:rsidR="00A44AD3" w:rsidRPr="00356AA1">
        <w:rPr>
          <w:sz w:val="20"/>
          <w:lang w:eastAsia="en-GB"/>
        </w:rPr>
        <w:t>y</w:t>
      </w:r>
      <w:r w:rsidRPr="00356AA1">
        <w:rPr>
          <w:sz w:val="20"/>
          <w:lang w:eastAsia="en-GB"/>
        </w:rPr>
        <w:t xml:space="preserve"> </w:t>
      </w:r>
      <w:r w:rsidR="005D5E98" w:rsidRPr="00356AA1">
        <w:rPr>
          <w:sz w:val="20"/>
          <w:lang w:eastAsia="en-GB"/>
        </w:rPr>
        <w:t xml:space="preserve">are </w:t>
      </w:r>
      <w:r w:rsidRPr="00356AA1">
        <w:rPr>
          <w:sz w:val="20"/>
          <w:lang w:eastAsia="en-GB"/>
        </w:rPr>
        <w:t xml:space="preserve">not exempt from questions </w:t>
      </w:r>
      <w:r w:rsidR="005D5E98" w:rsidRPr="00356AA1">
        <w:rPr>
          <w:sz w:val="20"/>
          <w:lang w:eastAsia="en-GB"/>
        </w:rPr>
        <w:t>of</w:t>
      </w:r>
      <w:r w:rsidRPr="00356AA1">
        <w:rPr>
          <w:sz w:val="20"/>
          <w:lang w:eastAsia="en-GB"/>
        </w:rPr>
        <w:t xml:space="preserve"> whether the mechanisms </w:t>
      </w:r>
      <w:r w:rsidR="005D5E98" w:rsidRPr="00356AA1">
        <w:rPr>
          <w:sz w:val="20"/>
          <w:lang w:eastAsia="en-GB"/>
        </w:rPr>
        <w:t>have been</w:t>
      </w:r>
      <w:r w:rsidRPr="00356AA1">
        <w:rPr>
          <w:sz w:val="20"/>
          <w:lang w:eastAsia="en-GB"/>
        </w:rPr>
        <w:t xml:space="preserve"> established solely on the </w:t>
      </w:r>
      <w:r w:rsidR="005D5E98" w:rsidRPr="00356AA1">
        <w:rPr>
          <w:sz w:val="20"/>
          <w:lang w:eastAsia="en-GB"/>
        </w:rPr>
        <w:t xml:space="preserve">basis </w:t>
      </w:r>
      <w:r w:rsidRPr="00356AA1">
        <w:rPr>
          <w:sz w:val="20"/>
          <w:lang w:eastAsia="en-GB"/>
        </w:rPr>
        <w:t>of violations or the needs of victims, equitably considered, or also influenced by extraneous and possibly political considerations.</w:t>
      </w:r>
    </w:p>
    <w:p w:rsidR="00FF4737" w:rsidRPr="00356AA1" w:rsidRDefault="001B20BA" w:rsidP="00356AA1">
      <w:pPr>
        <w:pStyle w:val="H23G"/>
        <w:spacing w:line="240" w:lineRule="atLeast"/>
        <w:rPr>
          <w:sz w:val="20"/>
          <w:lang w:eastAsia="en-GB"/>
        </w:rPr>
      </w:pPr>
      <w:r w:rsidRPr="00356AA1">
        <w:rPr>
          <w:sz w:val="20"/>
          <w:lang w:eastAsia="en-GB"/>
        </w:rPr>
        <w:tab/>
        <w:t>3.</w:t>
      </w:r>
      <w:r w:rsidRPr="00356AA1">
        <w:rPr>
          <w:sz w:val="20"/>
          <w:lang w:eastAsia="en-GB"/>
        </w:rPr>
        <w:tab/>
      </w:r>
      <w:r w:rsidR="00963168" w:rsidRPr="00356AA1">
        <w:rPr>
          <w:sz w:val="20"/>
          <w:lang w:eastAsia="en-GB"/>
        </w:rPr>
        <w:t>“</w:t>
      </w:r>
      <w:r w:rsidRPr="00356AA1">
        <w:rPr>
          <w:sz w:val="20"/>
          <w:lang w:eastAsia="en-GB"/>
        </w:rPr>
        <w:t>Fragmentation</w:t>
      </w:r>
      <w:r w:rsidR="00963168" w:rsidRPr="00356AA1">
        <w:rPr>
          <w:sz w:val="20"/>
          <w:lang w:eastAsia="en-GB"/>
        </w:rPr>
        <w:t>”</w:t>
      </w:r>
      <w:r w:rsidRPr="00356AA1">
        <w:rPr>
          <w:sz w:val="20"/>
          <w:lang w:eastAsia="en-GB"/>
        </w:rPr>
        <w:t xml:space="preserve"> of cases </w:t>
      </w:r>
    </w:p>
    <w:p w:rsidR="00FF4737" w:rsidRPr="00356AA1" w:rsidRDefault="001B20BA">
      <w:pPr>
        <w:pStyle w:val="SingleTxtG"/>
        <w:rPr>
          <w:sz w:val="20"/>
          <w:lang w:eastAsia="en-GB"/>
        </w:rPr>
      </w:pPr>
      <w:r w:rsidRPr="00356AA1">
        <w:rPr>
          <w:sz w:val="20"/>
          <w:lang w:eastAsia="en-GB"/>
        </w:rPr>
        <w:t>3</w:t>
      </w:r>
      <w:r w:rsidR="00781044">
        <w:rPr>
          <w:sz w:val="20"/>
          <w:lang w:eastAsia="en-GB"/>
        </w:rPr>
        <w:t>8</w:t>
      </w:r>
      <w:r w:rsidRPr="00356AA1">
        <w:rPr>
          <w:sz w:val="20"/>
          <w:lang w:eastAsia="en-GB"/>
        </w:rPr>
        <w:t>.</w:t>
      </w:r>
      <w:r w:rsidRPr="00356AA1">
        <w:rPr>
          <w:sz w:val="20"/>
          <w:lang w:eastAsia="en-GB"/>
        </w:rPr>
        <w:tab/>
        <w:t xml:space="preserve">No truth-seeking or investigative mechanism has purview over </w:t>
      </w:r>
      <w:r w:rsidR="00CC2F54" w:rsidRPr="00356AA1">
        <w:rPr>
          <w:sz w:val="20"/>
          <w:lang w:eastAsia="en-GB"/>
        </w:rPr>
        <w:t>all</w:t>
      </w:r>
      <w:r w:rsidRPr="00356AA1">
        <w:rPr>
          <w:i/>
          <w:sz w:val="20"/>
          <w:lang w:eastAsia="en-GB"/>
        </w:rPr>
        <w:t xml:space="preserve"> </w:t>
      </w:r>
      <w:r w:rsidR="003C498E" w:rsidRPr="00356AA1">
        <w:rPr>
          <w:sz w:val="20"/>
          <w:lang w:eastAsia="en-GB"/>
        </w:rPr>
        <w:t xml:space="preserve">actors </w:t>
      </w:r>
      <w:r w:rsidRPr="00356AA1">
        <w:rPr>
          <w:sz w:val="20"/>
          <w:lang w:eastAsia="en-GB"/>
        </w:rPr>
        <w:t xml:space="preserve">possibly involved. For example, while the </w:t>
      </w:r>
      <w:r w:rsidR="003C498E" w:rsidRPr="00356AA1">
        <w:rPr>
          <w:sz w:val="20"/>
          <w:lang w:eastAsia="en-GB"/>
        </w:rPr>
        <w:t>Office of the Police Ombudsman in Northern Ireland</w:t>
      </w:r>
      <w:r w:rsidR="003C498E" w:rsidRPr="00356AA1" w:rsidDel="003C498E">
        <w:rPr>
          <w:sz w:val="20"/>
          <w:lang w:eastAsia="en-GB"/>
        </w:rPr>
        <w:t xml:space="preserve"> </w:t>
      </w:r>
      <w:r w:rsidR="003C498E" w:rsidRPr="00356AA1">
        <w:rPr>
          <w:sz w:val="20"/>
          <w:lang w:eastAsia="en-GB"/>
        </w:rPr>
        <w:t>may</w:t>
      </w:r>
      <w:r w:rsidRPr="00356AA1">
        <w:rPr>
          <w:sz w:val="20"/>
          <w:lang w:eastAsia="en-GB"/>
        </w:rPr>
        <w:t xml:space="preserve"> investigate the police but not the military or intelligence agencies, the H</w:t>
      </w:r>
      <w:r w:rsidR="00163CA4">
        <w:rPr>
          <w:sz w:val="20"/>
          <w:lang w:eastAsia="en-GB"/>
        </w:rPr>
        <w:t>ET</w:t>
      </w:r>
      <w:r w:rsidRPr="00356AA1">
        <w:rPr>
          <w:sz w:val="20"/>
          <w:lang w:eastAsia="en-GB"/>
        </w:rPr>
        <w:t xml:space="preserve"> was empowered to investigate all actors</w:t>
      </w:r>
      <w:r w:rsidR="003C498E" w:rsidRPr="00356AA1">
        <w:rPr>
          <w:sz w:val="20"/>
          <w:lang w:eastAsia="en-GB"/>
        </w:rPr>
        <w:t>,</w:t>
      </w:r>
      <w:r w:rsidRPr="00356AA1">
        <w:rPr>
          <w:sz w:val="20"/>
          <w:lang w:eastAsia="en-GB"/>
        </w:rPr>
        <w:t xml:space="preserve"> except the police.</w:t>
      </w:r>
      <w:r w:rsidR="00781044">
        <w:rPr>
          <w:sz w:val="20"/>
          <w:lang w:eastAsia="en-GB"/>
        </w:rPr>
        <w:t xml:space="preserve"> </w:t>
      </w:r>
    </w:p>
    <w:p w:rsidR="00FF4737" w:rsidRPr="00356AA1" w:rsidRDefault="001B20BA" w:rsidP="00356AA1">
      <w:pPr>
        <w:pStyle w:val="H23G"/>
        <w:spacing w:line="240" w:lineRule="atLeast"/>
        <w:rPr>
          <w:sz w:val="20"/>
          <w:lang w:eastAsia="en-GB"/>
        </w:rPr>
      </w:pPr>
      <w:r w:rsidRPr="00356AA1">
        <w:rPr>
          <w:sz w:val="20"/>
          <w:lang w:eastAsia="en-GB"/>
        </w:rPr>
        <w:tab/>
        <w:t>4.</w:t>
      </w:r>
      <w:r w:rsidRPr="00356AA1">
        <w:rPr>
          <w:sz w:val="20"/>
          <w:lang w:eastAsia="en-GB"/>
        </w:rPr>
        <w:tab/>
        <w:t>Focus on death</w:t>
      </w:r>
      <w:r w:rsidR="00963168" w:rsidRPr="00356AA1">
        <w:rPr>
          <w:sz w:val="20"/>
          <w:lang w:eastAsia="en-GB"/>
        </w:rPr>
        <w:t>s</w:t>
      </w:r>
      <w:r w:rsidRPr="00356AA1">
        <w:rPr>
          <w:sz w:val="20"/>
          <w:lang w:eastAsia="en-GB"/>
        </w:rPr>
        <w:t xml:space="preserve"> </w:t>
      </w:r>
      <w:r w:rsidR="00963168" w:rsidRPr="00356AA1">
        <w:rPr>
          <w:sz w:val="20"/>
          <w:lang w:eastAsia="en-GB"/>
        </w:rPr>
        <w:t xml:space="preserve">to the </w:t>
      </w:r>
      <w:r w:rsidRPr="00356AA1">
        <w:rPr>
          <w:sz w:val="20"/>
          <w:lang w:eastAsia="en-GB"/>
        </w:rPr>
        <w:t>exclu</w:t>
      </w:r>
      <w:r w:rsidR="00963168" w:rsidRPr="00356AA1">
        <w:rPr>
          <w:sz w:val="20"/>
          <w:lang w:eastAsia="en-GB"/>
        </w:rPr>
        <w:t xml:space="preserve">sion of </w:t>
      </w:r>
      <w:r w:rsidRPr="00356AA1">
        <w:rPr>
          <w:sz w:val="20"/>
          <w:lang w:eastAsia="en-GB"/>
        </w:rPr>
        <w:t>other violations and abuses</w:t>
      </w:r>
    </w:p>
    <w:p w:rsidR="00FF4737" w:rsidRPr="00356AA1" w:rsidRDefault="00781044">
      <w:pPr>
        <w:pStyle w:val="SingleTxtG"/>
        <w:rPr>
          <w:sz w:val="20"/>
          <w:lang w:eastAsia="en-GB"/>
        </w:rPr>
      </w:pPr>
      <w:r>
        <w:rPr>
          <w:sz w:val="20"/>
          <w:lang w:eastAsia="en-GB"/>
        </w:rPr>
        <w:t>39</w:t>
      </w:r>
      <w:r w:rsidR="001B20BA" w:rsidRPr="00356AA1">
        <w:rPr>
          <w:sz w:val="20"/>
          <w:lang w:eastAsia="en-GB"/>
        </w:rPr>
        <w:t>.</w:t>
      </w:r>
      <w:r w:rsidR="001B20BA" w:rsidRPr="00356AA1">
        <w:rPr>
          <w:sz w:val="20"/>
          <w:lang w:eastAsia="en-GB"/>
        </w:rPr>
        <w:tab/>
        <w:t xml:space="preserve">All investigatory and truth-recovery processes focus on cases of killing </w:t>
      </w:r>
      <w:r w:rsidR="003C498E" w:rsidRPr="00356AA1">
        <w:rPr>
          <w:sz w:val="20"/>
          <w:lang w:eastAsia="en-GB"/>
        </w:rPr>
        <w:t xml:space="preserve">or </w:t>
      </w:r>
      <w:r w:rsidR="001B20BA" w:rsidRPr="00356AA1">
        <w:rPr>
          <w:sz w:val="20"/>
          <w:lang w:eastAsia="en-GB"/>
        </w:rPr>
        <w:t>suspicious death</w:t>
      </w:r>
      <w:r w:rsidR="003C498E" w:rsidRPr="00356AA1">
        <w:rPr>
          <w:sz w:val="20"/>
          <w:lang w:eastAsia="en-GB"/>
        </w:rPr>
        <w:t>;</w:t>
      </w:r>
      <w:r w:rsidR="001B20BA" w:rsidRPr="00356AA1">
        <w:rPr>
          <w:sz w:val="20"/>
          <w:lang w:eastAsia="en-GB"/>
        </w:rPr>
        <w:t xml:space="preserve"> </w:t>
      </w:r>
      <w:r w:rsidR="003C498E" w:rsidRPr="00356AA1">
        <w:rPr>
          <w:sz w:val="20"/>
          <w:lang w:eastAsia="en-GB"/>
        </w:rPr>
        <w:t>c</w:t>
      </w:r>
      <w:r w:rsidR="001B20BA" w:rsidRPr="00356AA1">
        <w:rPr>
          <w:sz w:val="20"/>
          <w:lang w:eastAsia="en-GB"/>
        </w:rPr>
        <w:t xml:space="preserve">onsequently, </w:t>
      </w:r>
      <w:r w:rsidR="003C498E" w:rsidRPr="00356AA1">
        <w:rPr>
          <w:sz w:val="20"/>
          <w:lang w:eastAsia="en-GB"/>
        </w:rPr>
        <w:t>persons</w:t>
      </w:r>
      <w:r w:rsidR="001B20BA" w:rsidRPr="00356AA1">
        <w:rPr>
          <w:sz w:val="20"/>
          <w:lang w:eastAsia="en-GB"/>
        </w:rPr>
        <w:t xml:space="preserve"> physically or psychologically injured as a result of life-threatening attacks, torture or ill-treatment, including sexual violence, are excluded from historical investigations. The majority of violations and abuses relating to the Troubles </w:t>
      </w:r>
      <w:r w:rsidR="003C498E" w:rsidRPr="00356AA1">
        <w:rPr>
          <w:sz w:val="20"/>
          <w:lang w:eastAsia="en-GB"/>
        </w:rPr>
        <w:t xml:space="preserve">therefore </w:t>
      </w:r>
      <w:r w:rsidR="001B20BA" w:rsidRPr="00356AA1">
        <w:rPr>
          <w:sz w:val="20"/>
          <w:lang w:eastAsia="en-GB"/>
        </w:rPr>
        <w:t xml:space="preserve">remain largely unaddressed. </w:t>
      </w:r>
    </w:p>
    <w:p w:rsidR="00FF4737" w:rsidRPr="00356AA1" w:rsidRDefault="001B20BA" w:rsidP="00356AA1">
      <w:pPr>
        <w:pStyle w:val="H23G"/>
        <w:spacing w:line="240" w:lineRule="atLeast"/>
        <w:rPr>
          <w:sz w:val="20"/>
          <w:lang w:eastAsia="en-GB"/>
        </w:rPr>
      </w:pPr>
      <w:r w:rsidRPr="00356AA1">
        <w:rPr>
          <w:sz w:val="20"/>
          <w:lang w:eastAsia="en-GB"/>
        </w:rPr>
        <w:tab/>
        <w:t>5.</w:t>
      </w:r>
      <w:r w:rsidRPr="00356AA1">
        <w:rPr>
          <w:sz w:val="20"/>
          <w:lang w:eastAsia="en-GB"/>
        </w:rPr>
        <w:tab/>
        <w:t xml:space="preserve">Independence </w:t>
      </w:r>
    </w:p>
    <w:p w:rsidR="00FF4737" w:rsidRPr="00356AA1" w:rsidRDefault="001B20BA">
      <w:pPr>
        <w:pStyle w:val="SingleTxtG"/>
        <w:rPr>
          <w:sz w:val="20"/>
          <w:lang w:eastAsia="en-GB"/>
        </w:rPr>
      </w:pPr>
      <w:r w:rsidRPr="00356AA1">
        <w:rPr>
          <w:sz w:val="20"/>
          <w:lang w:eastAsia="en-GB"/>
        </w:rPr>
        <w:t>4</w:t>
      </w:r>
      <w:r w:rsidR="00781044">
        <w:rPr>
          <w:sz w:val="20"/>
          <w:lang w:eastAsia="en-GB"/>
        </w:rPr>
        <w:t>0</w:t>
      </w:r>
      <w:r w:rsidRPr="00356AA1">
        <w:rPr>
          <w:sz w:val="20"/>
          <w:lang w:eastAsia="en-GB"/>
        </w:rPr>
        <w:t>.</w:t>
      </w:r>
      <w:r w:rsidRPr="00356AA1">
        <w:rPr>
          <w:sz w:val="20"/>
          <w:lang w:eastAsia="en-GB"/>
        </w:rPr>
        <w:tab/>
        <w:t xml:space="preserve">Interlocutors have also referred to the (perceived) lack of independence of historical investigative mechanisms, as </w:t>
      </w:r>
      <w:r w:rsidR="003C498E" w:rsidRPr="00356AA1">
        <w:rPr>
          <w:sz w:val="20"/>
          <w:lang w:eastAsia="en-GB"/>
        </w:rPr>
        <w:t>described above</w:t>
      </w:r>
      <w:r w:rsidRPr="00356AA1">
        <w:rPr>
          <w:sz w:val="20"/>
          <w:lang w:eastAsia="en-GB"/>
        </w:rPr>
        <w:t xml:space="preserve">. </w:t>
      </w:r>
    </w:p>
    <w:p w:rsidR="00FF4737" w:rsidRPr="00356AA1" w:rsidRDefault="001B20BA" w:rsidP="00356AA1">
      <w:pPr>
        <w:pStyle w:val="H23G"/>
        <w:spacing w:line="240" w:lineRule="atLeast"/>
        <w:rPr>
          <w:sz w:val="20"/>
          <w:lang w:eastAsia="en-GB"/>
        </w:rPr>
      </w:pPr>
      <w:r w:rsidRPr="00356AA1">
        <w:rPr>
          <w:sz w:val="20"/>
          <w:lang w:eastAsia="en-GB"/>
        </w:rPr>
        <w:tab/>
        <w:t>6.</w:t>
      </w:r>
      <w:r w:rsidRPr="00356AA1">
        <w:rPr>
          <w:sz w:val="20"/>
          <w:lang w:eastAsia="en-GB"/>
        </w:rPr>
        <w:tab/>
        <w:t xml:space="preserve">Overuse of national security exemptions to avoid disclosures </w:t>
      </w:r>
    </w:p>
    <w:p w:rsidR="00FF4737" w:rsidRPr="00356AA1" w:rsidRDefault="001B20BA">
      <w:pPr>
        <w:pStyle w:val="SingleTxtG"/>
        <w:rPr>
          <w:sz w:val="20"/>
          <w:lang w:eastAsia="en-GB"/>
        </w:rPr>
      </w:pPr>
      <w:r w:rsidRPr="00356AA1">
        <w:rPr>
          <w:sz w:val="20"/>
          <w:lang w:eastAsia="en-GB"/>
        </w:rPr>
        <w:t>4</w:t>
      </w:r>
      <w:r w:rsidR="00781044">
        <w:rPr>
          <w:sz w:val="20"/>
          <w:lang w:eastAsia="en-GB"/>
        </w:rPr>
        <w:t>1</w:t>
      </w:r>
      <w:r w:rsidRPr="00356AA1">
        <w:rPr>
          <w:sz w:val="20"/>
          <w:lang w:eastAsia="en-GB"/>
        </w:rPr>
        <w:t>.</w:t>
      </w:r>
      <w:r w:rsidRPr="00356AA1">
        <w:rPr>
          <w:sz w:val="20"/>
          <w:lang w:eastAsia="en-GB"/>
        </w:rPr>
        <w:tab/>
        <w:t xml:space="preserve">Perhaps the thorniest issue in debates about truth-telling in </w:t>
      </w:r>
      <w:r w:rsidR="00A217A5" w:rsidRPr="00356AA1">
        <w:rPr>
          <w:sz w:val="20"/>
        </w:rPr>
        <w:t xml:space="preserve">Northern Ireland </w:t>
      </w:r>
      <w:r w:rsidRPr="00356AA1">
        <w:rPr>
          <w:sz w:val="20"/>
          <w:lang w:eastAsia="en-GB"/>
        </w:rPr>
        <w:t xml:space="preserve">concerns </w:t>
      </w:r>
      <w:r w:rsidR="008C0721" w:rsidRPr="00356AA1">
        <w:rPr>
          <w:sz w:val="20"/>
          <w:lang w:eastAsia="en-GB"/>
        </w:rPr>
        <w:t xml:space="preserve">the </w:t>
      </w:r>
      <w:r w:rsidRPr="00356AA1">
        <w:rPr>
          <w:sz w:val="20"/>
          <w:lang w:eastAsia="en-GB"/>
        </w:rPr>
        <w:t xml:space="preserve">disclosure of information </w:t>
      </w:r>
      <w:r w:rsidR="008C0721" w:rsidRPr="00356AA1">
        <w:rPr>
          <w:sz w:val="20"/>
          <w:lang w:eastAsia="en-GB"/>
        </w:rPr>
        <w:t>held by</w:t>
      </w:r>
      <w:r w:rsidRPr="00356AA1">
        <w:rPr>
          <w:sz w:val="20"/>
          <w:lang w:eastAsia="en-GB"/>
        </w:rPr>
        <w:t xml:space="preserve"> government institutions. The Government </w:t>
      </w:r>
      <w:r w:rsidR="008C0721" w:rsidRPr="00356AA1">
        <w:rPr>
          <w:sz w:val="20"/>
          <w:lang w:eastAsia="en-GB"/>
        </w:rPr>
        <w:t xml:space="preserve">of the United Kingdom </w:t>
      </w:r>
      <w:r w:rsidR="00461870">
        <w:rPr>
          <w:sz w:val="20"/>
          <w:lang w:eastAsia="en-GB"/>
        </w:rPr>
        <w:t xml:space="preserve">(in, for example, a </w:t>
      </w:r>
      <w:r w:rsidR="00461870" w:rsidRPr="00356AA1">
        <w:rPr>
          <w:sz w:val="20"/>
          <w:szCs w:val="20"/>
        </w:rPr>
        <w:t xml:space="preserve">communication </w:t>
      </w:r>
      <w:r w:rsidR="00461870">
        <w:rPr>
          <w:sz w:val="20"/>
          <w:szCs w:val="20"/>
        </w:rPr>
        <w:t xml:space="preserve">dated </w:t>
      </w:r>
      <w:r w:rsidR="00461870" w:rsidRPr="009A1CA4">
        <w:rPr>
          <w:sz w:val="20"/>
          <w:szCs w:val="20"/>
        </w:rPr>
        <w:t>26 April 2016</w:t>
      </w:r>
      <w:r w:rsidR="00461870">
        <w:rPr>
          <w:sz w:val="20"/>
          <w:szCs w:val="20"/>
        </w:rPr>
        <w:t xml:space="preserve"> </w:t>
      </w:r>
      <w:r w:rsidR="00461870" w:rsidRPr="00356AA1">
        <w:rPr>
          <w:sz w:val="20"/>
          <w:szCs w:val="20"/>
        </w:rPr>
        <w:t>from the Northern Ireland Office to the Council of Europe)</w:t>
      </w:r>
      <w:r w:rsidR="00461870">
        <w:rPr>
          <w:sz w:val="20"/>
          <w:lang w:eastAsia="en-GB"/>
        </w:rPr>
        <w:t xml:space="preserve"> </w:t>
      </w:r>
      <w:r w:rsidRPr="00356AA1">
        <w:rPr>
          <w:sz w:val="20"/>
          <w:lang w:eastAsia="en-GB"/>
        </w:rPr>
        <w:t xml:space="preserve">consistently claims the right, if not </w:t>
      </w:r>
      <w:r w:rsidR="00654DC1">
        <w:rPr>
          <w:sz w:val="20"/>
          <w:lang w:eastAsia="en-GB"/>
        </w:rPr>
        <w:t xml:space="preserve">the </w:t>
      </w:r>
      <w:r w:rsidRPr="00356AA1">
        <w:rPr>
          <w:sz w:val="20"/>
          <w:lang w:eastAsia="en-GB"/>
        </w:rPr>
        <w:t xml:space="preserve">obligation, to prevent disclosure of </w:t>
      </w:r>
      <w:r w:rsidR="008C0721" w:rsidRPr="00356AA1">
        <w:rPr>
          <w:sz w:val="20"/>
          <w:lang w:eastAsia="en-GB"/>
        </w:rPr>
        <w:t>“</w:t>
      </w:r>
      <w:r w:rsidRPr="00356AA1">
        <w:rPr>
          <w:sz w:val="20"/>
          <w:lang w:eastAsia="en-GB"/>
        </w:rPr>
        <w:t>sensitive information</w:t>
      </w:r>
      <w:r w:rsidR="008C0721" w:rsidRPr="00356AA1">
        <w:rPr>
          <w:sz w:val="20"/>
          <w:lang w:eastAsia="en-GB"/>
        </w:rPr>
        <w:t>”</w:t>
      </w:r>
      <w:r w:rsidRPr="00356AA1">
        <w:rPr>
          <w:sz w:val="20"/>
          <w:lang w:eastAsia="en-GB"/>
        </w:rPr>
        <w:t xml:space="preserve">, including that which could </w:t>
      </w:r>
      <w:r w:rsidRPr="00356AA1">
        <w:rPr>
          <w:sz w:val="20"/>
          <w:lang w:eastAsia="en-GB"/>
        </w:rPr>
        <w:lastRenderedPageBreak/>
        <w:t xml:space="preserve">endanger the lives of informants or “damage </w:t>
      </w:r>
      <w:r w:rsidR="001E4ECD" w:rsidRPr="00356AA1">
        <w:rPr>
          <w:sz w:val="20"/>
          <w:lang w:eastAsia="en-GB"/>
        </w:rPr>
        <w:t>[…]</w:t>
      </w:r>
      <w:r w:rsidRPr="00356AA1">
        <w:rPr>
          <w:sz w:val="20"/>
          <w:lang w:eastAsia="en-GB"/>
        </w:rPr>
        <w:t xml:space="preserve"> national security” by revealing security sector methods or operations. Differences over national security exemptions were apparently the main concern over which the negotiations on the </w:t>
      </w:r>
      <w:r w:rsidR="001E4ECD" w:rsidRPr="00356AA1">
        <w:rPr>
          <w:sz w:val="20"/>
          <w:lang w:eastAsia="en-GB"/>
        </w:rPr>
        <w:t xml:space="preserve">implementation of the </w:t>
      </w:r>
      <w:r w:rsidRPr="00356AA1">
        <w:rPr>
          <w:sz w:val="20"/>
          <w:lang w:eastAsia="en-GB"/>
        </w:rPr>
        <w:t>S</w:t>
      </w:r>
      <w:r w:rsidR="001E4ECD" w:rsidRPr="00356AA1">
        <w:rPr>
          <w:sz w:val="20"/>
          <w:lang w:eastAsia="en-GB"/>
        </w:rPr>
        <w:t xml:space="preserve">tormont </w:t>
      </w:r>
      <w:r w:rsidRPr="00356AA1">
        <w:rPr>
          <w:sz w:val="20"/>
          <w:lang w:eastAsia="en-GB"/>
        </w:rPr>
        <w:t>H</w:t>
      </w:r>
      <w:r w:rsidR="001E4ECD" w:rsidRPr="00356AA1">
        <w:rPr>
          <w:sz w:val="20"/>
          <w:lang w:eastAsia="en-GB"/>
        </w:rPr>
        <w:t xml:space="preserve">ouse </w:t>
      </w:r>
      <w:r w:rsidRPr="00356AA1">
        <w:rPr>
          <w:sz w:val="20"/>
          <w:lang w:eastAsia="en-GB"/>
        </w:rPr>
        <w:t>A</w:t>
      </w:r>
      <w:r w:rsidR="001E4ECD" w:rsidRPr="00356AA1">
        <w:rPr>
          <w:sz w:val="20"/>
          <w:lang w:eastAsia="en-GB"/>
        </w:rPr>
        <w:t>greement</w:t>
      </w:r>
      <w:r w:rsidRPr="00356AA1">
        <w:rPr>
          <w:sz w:val="20"/>
          <w:lang w:eastAsia="en-GB"/>
        </w:rPr>
        <w:t xml:space="preserve"> broke down</w:t>
      </w:r>
      <w:r w:rsidR="001E4ECD" w:rsidRPr="00356AA1">
        <w:rPr>
          <w:sz w:val="20"/>
          <w:lang w:eastAsia="en-GB"/>
        </w:rPr>
        <w:t xml:space="preserve"> in November 2015</w:t>
      </w:r>
      <w:r w:rsidRPr="00356AA1">
        <w:rPr>
          <w:sz w:val="20"/>
          <w:lang w:eastAsia="en-GB"/>
        </w:rPr>
        <w:t>.</w:t>
      </w:r>
    </w:p>
    <w:p w:rsidR="00FF4737" w:rsidRPr="00356AA1" w:rsidRDefault="001B20BA">
      <w:pPr>
        <w:pStyle w:val="SingleTxtG"/>
        <w:rPr>
          <w:sz w:val="20"/>
          <w:lang w:eastAsia="en-GB"/>
        </w:rPr>
      </w:pPr>
      <w:r w:rsidRPr="00356AA1">
        <w:rPr>
          <w:sz w:val="20"/>
          <w:shd w:val="clear" w:color="auto" w:fill="FFFFFF"/>
        </w:rPr>
        <w:t>4</w:t>
      </w:r>
      <w:r w:rsidR="00781044">
        <w:rPr>
          <w:sz w:val="20"/>
          <w:shd w:val="clear" w:color="auto" w:fill="FFFFFF"/>
        </w:rPr>
        <w:t>2</w:t>
      </w:r>
      <w:r w:rsidRPr="00356AA1">
        <w:rPr>
          <w:sz w:val="20"/>
          <w:shd w:val="clear" w:color="auto" w:fill="FFFFFF"/>
        </w:rPr>
        <w:t>.</w:t>
      </w:r>
      <w:r w:rsidRPr="00356AA1">
        <w:rPr>
          <w:sz w:val="20"/>
          <w:shd w:val="clear" w:color="auto" w:fill="FFFFFF"/>
        </w:rPr>
        <w:tab/>
        <w:t>Appeals to the ambiguous concept of “national security”, invoked as a blanket term</w:t>
      </w:r>
      <w:r w:rsidR="00BF680E" w:rsidRPr="00356AA1">
        <w:rPr>
          <w:sz w:val="20"/>
          <w:shd w:val="clear" w:color="auto" w:fill="FFFFFF"/>
        </w:rPr>
        <w:t xml:space="preserve"> </w:t>
      </w:r>
      <w:r w:rsidR="00F56921">
        <w:rPr>
          <w:sz w:val="20"/>
          <w:shd w:val="clear" w:color="auto" w:fill="FFFFFF"/>
        </w:rPr>
        <w:t>becoming</w:t>
      </w:r>
      <w:r w:rsidR="00BF680E" w:rsidRPr="00356AA1">
        <w:rPr>
          <w:sz w:val="20"/>
          <w:shd w:val="clear" w:color="auto" w:fill="FFFFFF"/>
        </w:rPr>
        <w:t xml:space="preserve"> a</w:t>
      </w:r>
      <w:r w:rsidRPr="00356AA1">
        <w:rPr>
          <w:sz w:val="20"/>
          <w:shd w:val="clear" w:color="auto" w:fill="FFFFFF"/>
        </w:rPr>
        <w:t xml:space="preserve"> </w:t>
      </w:r>
      <w:r w:rsidR="00BF680E" w:rsidRPr="00356AA1">
        <w:rPr>
          <w:sz w:val="20"/>
          <w:shd w:val="clear" w:color="auto" w:fill="FFFFFF"/>
        </w:rPr>
        <w:t xml:space="preserve">means to shield individuals or practices against open scrutiny, </w:t>
      </w:r>
      <w:r w:rsidRPr="00356AA1">
        <w:rPr>
          <w:sz w:val="20"/>
          <w:shd w:val="clear" w:color="auto" w:fill="FFFFFF"/>
        </w:rPr>
        <w:t xml:space="preserve">fuel mistrust and suspicion. The fact that </w:t>
      </w:r>
      <w:r w:rsidR="00BF680E" w:rsidRPr="00356AA1">
        <w:rPr>
          <w:sz w:val="20"/>
          <w:shd w:val="clear" w:color="auto" w:fill="FFFFFF"/>
        </w:rPr>
        <w:t>“</w:t>
      </w:r>
      <w:r w:rsidRPr="00356AA1">
        <w:rPr>
          <w:sz w:val="20"/>
          <w:shd w:val="clear" w:color="auto" w:fill="FFFFFF"/>
        </w:rPr>
        <w:t>national security</w:t>
      </w:r>
      <w:r w:rsidR="00BF680E" w:rsidRPr="00356AA1">
        <w:rPr>
          <w:sz w:val="20"/>
          <w:shd w:val="clear" w:color="auto" w:fill="FFFFFF"/>
        </w:rPr>
        <w:t>”</w:t>
      </w:r>
      <w:r w:rsidRPr="00356AA1">
        <w:rPr>
          <w:sz w:val="20"/>
          <w:shd w:val="clear" w:color="auto" w:fill="FFFFFF"/>
        </w:rPr>
        <w:t xml:space="preserve"> has no statutory definition in </w:t>
      </w:r>
      <w:r w:rsidR="00BF680E" w:rsidRPr="00356AA1">
        <w:rPr>
          <w:sz w:val="20"/>
          <w:shd w:val="clear" w:color="auto" w:fill="FFFFFF"/>
        </w:rPr>
        <w:t xml:space="preserve">British </w:t>
      </w:r>
      <w:r w:rsidRPr="00356AA1">
        <w:rPr>
          <w:sz w:val="20"/>
          <w:shd w:val="clear" w:color="auto" w:fill="FFFFFF"/>
        </w:rPr>
        <w:t xml:space="preserve">law aggravates this perception. </w:t>
      </w:r>
    </w:p>
    <w:p w:rsidR="00FF4737" w:rsidRPr="00FF4737" w:rsidRDefault="001B20BA">
      <w:pPr>
        <w:pStyle w:val="SingleTxtG"/>
        <w:rPr>
          <w:lang w:eastAsia="en-GB"/>
        </w:rPr>
      </w:pPr>
      <w:r w:rsidRPr="00356AA1">
        <w:rPr>
          <w:sz w:val="20"/>
          <w:lang w:eastAsia="en-GB"/>
        </w:rPr>
        <w:t>4</w:t>
      </w:r>
      <w:r w:rsidR="00781044">
        <w:rPr>
          <w:sz w:val="20"/>
          <w:lang w:eastAsia="en-GB"/>
        </w:rPr>
        <w:t>3</w:t>
      </w:r>
      <w:r w:rsidRPr="00356AA1">
        <w:rPr>
          <w:sz w:val="20"/>
          <w:lang w:eastAsia="en-GB"/>
        </w:rPr>
        <w:t>.</w:t>
      </w:r>
      <w:r w:rsidRPr="00356AA1">
        <w:rPr>
          <w:sz w:val="20"/>
          <w:lang w:eastAsia="en-GB"/>
        </w:rPr>
        <w:tab/>
        <w:t xml:space="preserve">In other contexts, this issue has received </w:t>
      </w:r>
      <w:r w:rsidR="00BF680E" w:rsidRPr="00356AA1">
        <w:rPr>
          <w:sz w:val="20"/>
          <w:lang w:eastAsia="en-GB"/>
        </w:rPr>
        <w:t xml:space="preserve">an </w:t>
      </w:r>
      <w:r w:rsidRPr="00356AA1">
        <w:rPr>
          <w:sz w:val="20"/>
          <w:lang w:eastAsia="en-GB"/>
        </w:rPr>
        <w:t xml:space="preserve">entirely different treatment. Typically, </w:t>
      </w:r>
      <w:r w:rsidR="00BF680E" w:rsidRPr="00356AA1">
        <w:rPr>
          <w:sz w:val="20"/>
          <w:lang w:eastAsia="en-GB"/>
        </w:rPr>
        <w:t>S</w:t>
      </w:r>
      <w:r w:rsidRPr="00356AA1">
        <w:rPr>
          <w:sz w:val="20"/>
          <w:lang w:eastAsia="en-GB"/>
        </w:rPr>
        <w:t>tate institutions, including the security sector, are required</w:t>
      </w:r>
      <w:r w:rsidRPr="00356AA1">
        <w:rPr>
          <w:i/>
          <w:sz w:val="20"/>
          <w:lang w:eastAsia="en-GB"/>
        </w:rPr>
        <w:t xml:space="preserve"> </w:t>
      </w:r>
      <w:r w:rsidRPr="00356AA1">
        <w:rPr>
          <w:sz w:val="20"/>
          <w:lang w:eastAsia="en-GB"/>
        </w:rPr>
        <w:t xml:space="preserve">to collaborate with truth commissions and </w:t>
      </w:r>
      <w:r w:rsidR="00BF680E" w:rsidRPr="00356AA1">
        <w:rPr>
          <w:sz w:val="20"/>
          <w:lang w:eastAsia="en-GB"/>
        </w:rPr>
        <w:t xml:space="preserve">to </w:t>
      </w:r>
      <w:r w:rsidRPr="00356AA1">
        <w:rPr>
          <w:sz w:val="20"/>
          <w:lang w:eastAsia="en-GB"/>
        </w:rPr>
        <w:t xml:space="preserve">provide all relevant information, including </w:t>
      </w:r>
      <w:r w:rsidR="00BF680E" w:rsidRPr="00356AA1">
        <w:rPr>
          <w:sz w:val="20"/>
          <w:lang w:eastAsia="en-GB"/>
        </w:rPr>
        <w:t>“</w:t>
      </w:r>
      <w:r w:rsidRPr="00356AA1">
        <w:rPr>
          <w:sz w:val="20"/>
          <w:lang w:eastAsia="en-GB"/>
        </w:rPr>
        <w:t>sensitive</w:t>
      </w:r>
      <w:r w:rsidR="00BF680E" w:rsidRPr="00356AA1">
        <w:rPr>
          <w:sz w:val="20"/>
          <w:lang w:eastAsia="en-GB"/>
        </w:rPr>
        <w:t>”</w:t>
      </w:r>
      <w:r w:rsidRPr="00356AA1">
        <w:rPr>
          <w:sz w:val="20"/>
          <w:lang w:eastAsia="en-GB"/>
        </w:rPr>
        <w:t xml:space="preserve"> information.</w:t>
      </w:r>
      <w:r w:rsidRPr="00FF4737">
        <w:rPr>
          <w:lang w:eastAsia="en-GB"/>
        </w:rPr>
        <w:t xml:space="preserve"> </w:t>
      </w:r>
    </w:p>
    <w:p w:rsidR="00FF4737" w:rsidRPr="00356AA1" w:rsidRDefault="001B20BA">
      <w:pPr>
        <w:pStyle w:val="SingleTxtG"/>
        <w:rPr>
          <w:sz w:val="20"/>
          <w:lang w:eastAsia="en-GB"/>
        </w:rPr>
      </w:pPr>
      <w:r w:rsidRPr="00356AA1">
        <w:rPr>
          <w:sz w:val="20"/>
          <w:lang w:eastAsia="en-GB"/>
        </w:rPr>
        <w:t>4</w:t>
      </w:r>
      <w:r w:rsidR="00781044">
        <w:rPr>
          <w:sz w:val="20"/>
          <w:lang w:eastAsia="en-GB"/>
        </w:rPr>
        <w:t>4</w:t>
      </w:r>
      <w:r w:rsidRPr="00356AA1">
        <w:rPr>
          <w:sz w:val="20"/>
          <w:lang w:eastAsia="en-GB"/>
        </w:rPr>
        <w:t>.</w:t>
      </w:r>
      <w:r w:rsidRPr="00356AA1">
        <w:rPr>
          <w:sz w:val="20"/>
          <w:lang w:eastAsia="en-GB"/>
        </w:rPr>
        <w:tab/>
      </w:r>
      <w:r w:rsidR="00FF4737" w:rsidRPr="00356AA1">
        <w:rPr>
          <w:sz w:val="20"/>
          <w:lang w:eastAsia="en-GB"/>
        </w:rPr>
        <w:t>In</w:t>
      </w:r>
      <w:r w:rsidRPr="00356AA1">
        <w:rPr>
          <w:sz w:val="20"/>
          <w:lang w:eastAsia="en-GB"/>
        </w:rPr>
        <w:t xml:space="preserve"> </w:t>
      </w:r>
      <w:r w:rsidR="00FF4737" w:rsidRPr="00356AA1">
        <w:rPr>
          <w:sz w:val="20"/>
          <w:lang w:eastAsia="en-GB"/>
        </w:rPr>
        <w:t xml:space="preserve">Although </w:t>
      </w:r>
      <w:r w:rsidRPr="00356AA1">
        <w:rPr>
          <w:sz w:val="20"/>
          <w:lang w:eastAsia="en-GB"/>
        </w:rPr>
        <w:t>truth commissions have received considerable latitude in handling information</w:t>
      </w:r>
      <w:r w:rsidR="00FF4737" w:rsidRPr="00356AA1">
        <w:rPr>
          <w:sz w:val="20"/>
          <w:lang w:eastAsia="en-GB"/>
        </w:rPr>
        <w:t xml:space="preserve"> on national security issues</w:t>
      </w:r>
      <w:r w:rsidRPr="00356AA1">
        <w:rPr>
          <w:sz w:val="20"/>
          <w:lang w:eastAsia="en-GB"/>
        </w:rPr>
        <w:t>, no obvious cases of serious breaches</w:t>
      </w:r>
      <w:r w:rsidR="00FF4737" w:rsidRPr="00356AA1">
        <w:rPr>
          <w:sz w:val="20"/>
          <w:lang w:eastAsia="en-GB"/>
        </w:rPr>
        <w:t xml:space="preserve"> have been recorded</w:t>
      </w:r>
      <w:r w:rsidRPr="00356AA1">
        <w:rPr>
          <w:sz w:val="20"/>
          <w:lang w:eastAsia="en-GB"/>
        </w:rPr>
        <w:t xml:space="preserve">, in part because </w:t>
      </w:r>
      <w:r w:rsidR="00FF4737" w:rsidRPr="00356AA1">
        <w:rPr>
          <w:sz w:val="20"/>
          <w:lang w:eastAsia="en-GB"/>
        </w:rPr>
        <w:t xml:space="preserve">the </w:t>
      </w:r>
      <w:r w:rsidRPr="00356AA1">
        <w:rPr>
          <w:sz w:val="20"/>
          <w:lang w:eastAsia="en-GB"/>
        </w:rPr>
        <w:t xml:space="preserve">methods disclosed </w:t>
      </w:r>
      <w:r w:rsidR="00FF4737" w:rsidRPr="00356AA1">
        <w:rPr>
          <w:sz w:val="20"/>
          <w:lang w:eastAsia="en-GB"/>
        </w:rPr>
        <w:t xml:space="preserve">were </w:t>
      </w:r>
      <w:r w:rsidRPr="00356AA1">
        <w:rPr>
          <w:sz w:val="20"/>
          <w:lang w:eastAsia="en-GB"/>
        </w:rPr>
        <w:t xml:space="preserve">so clearly incompatible with any notion of legality or legitimacy that they </w:t>
      </w:r>
      <w:r w:rsidR="00FF4737" w:rsidRPr="00356AA1">
        <w:rPr>
          <w:sz w:val="20"/>
          <w:lang w:eastAsia="en-GB"/>
        </w:rPr>
        <w:t xml:space="preserve">could not </w:t>
      </w:r>
      <w:r w:rsidRPr="00356AA1">
        <w:rPr>
          <w:sz w:val="20"/>
          <w:lang w:eastAsia="en-GB"/>
        </w:rPr>
        <w:t>be considered part of any defensible national security strategy.</w:t>
      </w:r>
      <w:r w:rsidR="00781044">
        <w:rPr>
          <w:sz w:val="20"/>
          <w:lang w:eastAsia="en-GB"/>
        </w:rPr>
        <w:t xml:space="preserve"> </w:t>
      </w:r>
      <w:r w:rsidRPr="00356AA1">
        <w:rPr>
          <w:sz w:val="20"/>
          <w:lang w:eastAsia="en-GB"/>
        </w:rPr>
        <w:t xml:space="preserve">Concerns about </w:t>
      </w:r>
      <w:r w:rsidR="00E846A9" w:rsidRPr="00356AA1">
        <w:rPr>
          <w:sz w:val="20"/>
          <w:lang w:eastAsia="en-GB"/>
        </w:rPr>
        <w:t xml:space="preserve">the </w:t>
      </w:r>
      <w:r w:rsidRPr="00356AA1">
        <w:rPr>
          <w:sz w:val="20"/>
          <w:lang w:eastAsia="en-GB"/>
        </w:rPr>
        <w:t>security of individuals have been addressed not by limiting disclosure, but by protecting individuals, including through witness protection program</w:t>
      </w:r>
      <w:r w:rsidR="00E846A9" w:rsidRPr="00356AA1">
        <w:rPr>
          <w:sz w:val="20"/>
          <w:lang w:eastAsia="en-GB"/>
        </w:rPr>
        <w:t>me</w:t>
      </w:r>
      <w:r w:rsidRPr="00356AA1">
        <w:rPr>
          <w:sz w:val="20"/>
          <w:lang w:eastAsia="en-GB"/>
        </w:rPr>
        <w:t>s.</w:t>
      </w:r>
    </w:p>
    <w:p w:rsidR="00FF4737" w:rsidRPr="00356AA1" w:rsidRDefault="001B20BA">
      <w:pPr>
        <w:pStyle w:val="SingleTxtG"/>
        <w:rPr>
          <w:sz w:val="20"/>
          <w:lang w:eastAsia="en-GB"/>
        </w:rPr>
      </w:pPr>
      <w:r w:rsidRPr="00356AA1">
        <w:rPr>
          <w:sz w:val="20"/>
          <w:lang w:eastAsia="en-GB"/>
        </w:rPr>
        <w:t>4</w:t>
      </w:r>
      <w:r w:rsidR="00781044">
        <w:rPr>
          <w:sz w:val="20"/>
          <w:lang w:eastAsia="en-GB"/>
        </w:rPr>
        <w:t>5</w:t>
      </w:r>
      <w:r w:rsidRPr="00356AA1">
        <w:rPr>
          <w:sz w:val="20"/>
          <w:lang w:eastAsia="en-GB"/>
        </w:rPr>
        <w:t>.</w:t>
      </w:r>
      <w:r w:rsidRPr="00356AA1">
        <w:rPr>
          <w:sz w:val="20"/>
          <w:lang w:eastAsia="en-GB"/>
        </w:rPr>
        <w:tab/>
      </w:r>
      <w:r w:rsidR="00E846A9" w:rsidRPr="00356AA1">
        <w:rPr>
          <w:sz w:val="20"/>
          <w:lang w:eastAsia="en-GB"/>
        </w:rPr>
        <w:t>The a</w:t>
      </w:r>
      <w:r w:rsidRPr="00356AA1">
        <w:rPr>
          <w:sz w:val="20"/>
          <w:lang w:eastAsia="en-GB"/>
        </w:rPr>
        <w:t xml:space="preserve">uthorities have argued that witness protection is not feasible in </w:t>
      </w:r>
      <w:r w:rsidR="00E846A9" w:rsidRPr="00356AA1">
        <w:rPr>
          <w:sz w:val="20"/>
          <w:lang w:eastAsia="en-GB"/>
        </w:rPr>
        <w:t>Northern Ireland</w:t>
      </w:r>
      <w:r w:rsidRPr="00356AA1">
        <w:rPr>
          <w:sz w:val="20"/>
          <w:lang w:eastAsia="en-GB"/>
        </w:rPr>
        <w:t>, citing pledges of confidentiality made to informers</w:t>
      </w:r>
      <w:r w:rsidR="00E846A9" w:rsidRPr="00356AA1">
        <w:rPr>
          <w:sz w:val="20"/>
          <w:lang w:eastAsia="en-GB"/>
        </w:rPr>
        <w:t>,</w:t>
      </w:r>
      <w:r w:rsidRPr="00356AA1">
        <w:rPr>
          <w:sz w:val="20"/>
          <w:lang w:eastAsia="en-GB"/>
        </w:rPr>
        <w:t xml:space="preserve"> </w:t>
      </w:r>
      <w:r w:rsidR="00F56921">
        <w:rPr>
          <w:sz w:val="20"/>
          <w:lang w:eastAsia="en-GB"/>
        </w:rPr>
        <w:t xml:space="preserve">and </w:t>
      </w:r>
      <w:r w:rsidRPr="00356AA1">
        <w:rPr>
          <w:sz w:val="20"/>
          <w:lang w:eastAsia="en-GB"/>
        </w:rPr>
        <w:t>contextual factors that make identification easy (</w:t>
      </w:r>
      <w:r w:rsidR="00E846A9" w:rsidRPr="00356AA1">
        <w:rPr>
          <w:sz w:val="20"/>
          <w:lang w:eastAsia="en-GB"/>
        </w:rPr>
        <w:t xml:space="preserve">for example, in </w:t>
      </w:r>
      <w:r w:rsidRPr="00356AA1">
        <w:rPr>
          <w:sz w:val="20"/>
          <w:lang w:eastAsia="en-GB"/>
        </w:rPr>
        <w:t>small geographic regions</w:t>
      </w:r>
      <w:r w:rsidR="00E846A9" w:rsidRPr="00356AA1">
        <w:rPr>
          <w:sz w:val="20"/>
          <w:lang w:eastAsia="en-GB"/>
        </w:rPr>
        <w:t xml:space="preserve"> or</w:t>
      </w:r>
      <w:r w:rsidRPr="00356AA1">
        <w:rPr>
          <w:sz w:val="20"/>
          <w:lang w:eastAsia="en-GB"/>
        </w:rPr>
        <w:t xml:space="preserve"> tightly knit communities)</w:t>
      </w:r>
      <w:r w:rsidR="00F56921">
        <w:rPr>
          <w:sz w:val="20"/>
          <w:lang w:eastAsia="en-GB"/>
        </w:rPr>
        <w:t xml:space="preserve">. They furthermore cite </w:t>
      </w:r>
      <w:r w:rsidRPr="00356AA1">
        <w:rPr>
          <w:sz w:val="20"/>
          <w:lang w:eastAsia="en-GB"/>
        </w:rPr>
        <w:t>the fact that some people have</w:t>
      </w:r>
      <w:r w:rsidR="00F56921">
        <w:rPr>
          <w:sz w:val="20"/>
          <w:lang w:eastAsia="en-GB"/>
        </w:rPr>
        <w:t xml:space="preserve"> indeed</w:t>
      </w:r>
      <w:r w:rsidRPr="00356AA1">
        <w:rPr>
          <w:sz w:val="20"/>
          <w:lang w:eastAsia="en-GB"/>
        </w:rPr>
        <w:t xml:space="preserve"> been murdered on </w:t>
      </w:r>
      <w:r w:rsidR="00F56921">
        <w:rPr>
          <w:sz w:val="20"/>
          <w:lang w:eastAsia="en-GB"/>
        </w:rPr>
        <w:t xml:space="preserve">the </w:t>
      </w:r>
      <w:r w:rsidRPr="00356AA1">
        <w:rPr>
          <w:sz w:val="20"/>
          <w:lang w:eastAsia="en-GB"/>
        </w:rPr>
        <w:t>suspicion of providing information to the authorities. Legally, authorities argue, they are bound by</w:t>
      </w:r>
      <w:r w:rsidR="00724239">
        <w:rPr>
          <w:sz w:val="20"/>
          <w:lang w:eastAsia="en-GB"/>
        </w:rPr>
        <w:t xml:space="preserve"> article 2 of the European Convention on Human Rights</w:t>
      </w:r>
      <w:r w:rsidRPr="00356AA1">
        <w:rPr>
          <w:sz w:val="20"/>
          <w:lang w:eastAsia="en-GB"/>
        </w:rPr>
        <w:t xml:space="preserve"> to protect the life of citizens. </w:t>
      </w:r>
    </w:p>
    <w:p w:rsidR="00FF4737" w:rsidRPr="00356AA1" w:rsidRDefault="001B20BA">
      <w:pPr>
        <w:pStyle w:val="SingleTxtG"/>
        <w:rPr>
          <w:sz w:val="20"/>
          <w:lang w:eastAsia="en-GB"/>
        </w:rPr>
      </w:pPr>
      <w:r w:rsidRPr="00356AA1">
        <w:rPr>
          <w:sz w:val="20"/>
          <w:lang w:eastAsia="en-GB"/>
        </w:rPr>
        <w:t>4</w:t>
      </w:r>
      <w:r w:rsidR="00781044">
        <w:rPr>
          <w:sz w:val="20"/>
          <w:lang w:eastAsia="en-GB"/>
        </w:rPr>
        <w:t>6</w:t>
      </w:r>
      <w:r w:rsidRPr="00356AA1">
        <w:rPr>
          <w:sz w:val="20"/>
          <w:lang w:eastAsia="en-GB"/>
        </w:rPr>
        <w:t>.</w:t>
      </w:r>
      <w:r w:rsidRPr="00356AA1">
        <w:rPr>
          <w:sz w:val="20"/>
          <w:lang w:eastAsia="en-GB"/>
        </w:rPr>
        <w:tab/>
        <w:t xml:space="preserve">Asserting </w:t>
      </w:r>
      <w:r w:rsidR="00E846A9" w:rsidRPr="00356AA1">
        <w:rPr>
          <w:sz w:val="20"/>
          <w:lang w:eastAsia="en-GB"/>
        </w:rPr>
        <w:t xml:space="preserve">the </w:t>
      </w:r>
      <w:r w:rsidRPr="00356AA1">
        <w:rPr>
          <w:sz w:val="20"/>
          <w:lang w:eastAsia="en-GB"/>
        </w:rPr>
        <w:t xml:space="preserve">obligation </w:t>
      </w:r>
      <w:r w:rsidR="00E846A9" w:rsidRPr="00356AA1">
        <w:rPr>
          <w:sz w:val="20"/>
          <w:lang w:eastAsia="en-GB"/>
        </w:rPr>
        <w:t xml:space="preserve">to protect the life of citizens </w:t>
      </w:r>
      <w:r w:rsidRPr="00356AA1">
        <w:rPr>
          <w:sz w:val="20"/>
          <w:lang w:eastAsia="en-GB"/>
        </w:rPr>
        <w:t>does not override obligations stemming from the right to truth.</w:t>
      </w:r>
      <w:r w:rsidR="00781044">
        <w:rPr>
          <w:sz w:val="20"/>
          <w:lang w:eastAsia="en-GB"/>
        </w:rPr>
        <w:t xml:space="preserve"> </w:t>
      </w:r>
      <w:r w:rsidR="00E846A9" w:rsidRPr="00356AA1">
        <w:rPr>
          <w:sz w:val="20"/>
          <w:lang w:eastAsia="en-GB"/>
        </w:rPr>
        <w:t>N</w:t>
      </w:r>
      <w:r w:rsidRPr="00356AA1">
        <w:rPr>
          <w:sz w:val="20"/>
          <w:lang w:eastAsia="en-GB"/>
        </w:rPr>
        <w:t>o single right to life trump</w:t>
      </w:r>
      <w:r w:rsidR="00E846A9" w:rsidRPr="00356AA1">
        <w:rPr>
          <w:sz w:val="20"/>
          <w:lang w:eastAsia="en-GB"/>
        </w:rPr>
        <w:t>s</w:t>
      </w:r>
      <w:r w:rsidRPr="00356AA1">
        <w:rPr>
          <w:sz w:val="20"/>
          <w:lang w:eastAsia="en-GB"/>
        </w:rPr>
        <w:t xml:space="preserve"> other “weaker” rights. The right to truth can be construed as a way to (</w:t>
      </w:r>
      <w:r w:rsidR="00E846A9" w:rsidRPr="00356AA1">
        <w:rPr>
          <w:sz w:val="20"/>
          <w:lang w:eastAsia="en-GB"/>
        </w:rPr>
        <w:t xml:space="preserve">at least </w:t>
      </w:r>
      <w:r w:rsidRPr="00356AA1">
        <w:rPr>
          <w:sz w:val="20"/>
          <w:lang w:eastAsia="en-GB"/>
        </w:rPr>
        <w:t xml:space="preserve">partially) redeem the right to life of those </w:t>
      </w:r>
      <w:r w:rsidR="00E846A9" w:rsidRPr="00356AA1">
        <w:rPr>
          <w:sz w:val="20"/>
          <w:lang w:eastAsia="en-GB"/>
        </w:rPr>
        <w:t xml:space="preserve">who </w:t>
      </w:r>
      <w:r w:rsidRPr="00356AA1">
        <w:rPr>
          <w:sz w:val="20"/>
          <w:lang w:eastAsia="en-GB"/>
        </w:rPr>
        <w:t xml:space="preserve">have been killed by </w:t>
      </w:r>
      <w:r w:rsidR="00E846A9" w:rsidRPr="00356AA1">
        <w:rPr>
          <w:sz w:val="20"/>
          <w:lang w:eastAsia="en-GB"/>
        </w:rPr>
        <w:t>S</w:t>
      </w:r>
      <w:r w:rsidRPr="00356AA1">
        <w:rPr>
          <w:sz w:val="20"/>
          <w:lang w:eastAsia="en-GB"/>
        </w:rPr>
        <w:t>tate or non-</w:t>
      </w:r>
      <w:r w:rsidR="00E846A9" w:rsidRPr="00356AA1">
        <w:rPr>
          <w:sz w:val="20"/>
          <w:lang w:eastAsia="en-GB"/>
        </w:rPr>
        <w:t>S</w:t>
      </w:r>
      <w:r w:rsidRPr="00356AA1">
        <w:rPr>
          <w:sz w:val="20"/>
          <w:lang w:eastAsia="en-GB"/>
        </w:rPr>
        <w:t xml:space="preserve">tate actors. Instead, the point must be to find ways of satisfying the right to truth for victims and society while acknowledging the complex conditions under which this must be done, </w:t>
      </w:r>
      <w:r w:rsidR="00E846A9" w:rsidRPr="00356AA1">
        <w:rPr>
          <w:sz w:val="20"/>
          <w:lang w:eastAsia="en-GB"/>
        </w:rPr>
        <w:t xml:space="preserve">which are compounded </w:t>
      </w:r>
      <w:r w:rsidRPr="00356AA1">
        <w:rPr>
          <w:sz w:val="20"/>
          <w:lang w:eastAsia="en-GB"/>
        </w:rPr>
        <w:t xml:space="preserve">in </w:t>
      </w:r>
      <w:r w:rsidR="00A217A5" w:rsidRPr="00356AA1">
        <w:rPr>
          <w:sz w:val="20"/>
        </w:rPr>
        <w:t xml:space="preserve">Northern Ireland </w:t>
      </w:r>
      <w:r w:rsidRPr="00356AA1">
        <w:rPr>
          <w:sz w:val="20"/>
          <w:lang w:eastAsia="en-GB"/>
        </w:rPr>
        <w:t>by the widespread reliance on informers.</w:t>
      </w:r>
    </w:p>
    <w:p w:rsidR="00FF4737" w:rsidRPr="00FF4737" w:rsidRDefault="001B20BA">
      <w:pPr>
        <w:pStyle w:val="SingleTxtG"/>
        <w:rPr>
          <w:lang w:eastAsia="en-GB"/>
        </w:rPr>
      </w:pPr>
      <w:r w:rsidRPr="00356AA1">
        <w:rPr>
          <w:sz w:val="20"/>
          <w:shd w:val="clear" w:color="auto" w:fill="FFFFFF"/>
        </w:rPr>
        <w:t>4</w:t>
      </w:r>
      <w:r w:rsidR="00781044">
        <w:rPr>
          <w:sz w:val="20"/>
          <w:shd w:val="clear" w:color="auto" w:fill="FFFFFF"/>
        </w:rPr>
        <w:t>7</w:t>
      </w:r>
      <w:r w:rsidRPr="00356AA1">
        <w:rPr>
          <w:sz w:val="20"/>
          <w:shd w:val="clear" w:color="auto" w:fill="FFFFFF"/>
        </w:rPr>
        <w:t>.</w:t>
      </w:r>
      <w:r w:rsidRPr="00356AA1">
        <w:rPr>
          <w:sz w:val="20"/>
          <w:shd w:val="clear" w:color="auto" w:fill="FFFFFF"/>
        </w:rPr>
        <w:tab/>
      </w:r>
      <w:r w:rsidR="00E846A9" w:rsidRPr="00356AA1">
        <w:rPr>
          <w:sz w:val="20"/>
          <w:shd w:val="clear" w:color="auto" w:fill="FFFFFF"/>
        </w:rPr>
        <w:t xml:space="preserve">When acting </w:t>
      </w:r>
      <w:r w:rsidRPr="00356AA1">
        <w:rPr>
          <w:sz w:val="20"/>
          <w:shd w:val="clear" w:color="auto" w:fill="FFFFFF"/>
        </w:rPr>
        <w:t xml:space="preserve">in accordance with both national and international obligations, </w:t>
      </w:r>
      <w:r w:rsidR="00E846A9" w:rsidRPr="00356AA1">
        <w:rPr>
          <w:sz w:val="20"/>
          <w:shd w:val="clear" w:color="auto" w:fill="FFFFFF"/>
        </w:rPr>
        <w:t xml:space="preserve">national security </w:t>
      </w:r>
      <w:r w:rsidRPr="00356AA1">
        <w:rPr>
          <w:sz w:val="20"/>
          <w:shd w:val="clear" w:color="auto" w:fill="FFFFFF"/>
        </w:rPr>
        <w:t>may only be served within the limits of the law, and allowing for adequate means of comprehensive redress in cases of breach of obligations.</w:t>
      </w:r>
    </w:p>
    <w:p w:rsidR="00FF4737" w:rsidRPr="00FF4737" w:rsidRDefault="00E16D14" w:rsidP="00356AA1">
      <w:pPr>
        <w:pStyle w:val="HChG"/>
        <w:spacing w:line="240" w:lineRule="atLeast"/>
        <w:rPr>
          <w:lang w:eastAsia="en-GB"/>
        </w:rPr>
      </w:pPr>
      <w:r w:rsidRPr="00FF4737">
        <w:rPr>
          <w:lang w:eastAsia="en-GB"/>
        </w:rPr>
        <w:tab/>
        <w:t>V.</w:t>
      </w:r>
      <w:r w:rsidRPr="00FF4737">
        <w:rPr>
          <w:lang w:eastAsia="en-GB"/>
        </w:rPr>
        <w:tab/>
        <w:t>Criminal justice initiatives</w:t>
      </w:r>
    </w:p>
    <w:p w:rsidR="00FF4737" w:rsidRPr="00356AA1" w:rsidRDefault="006B54C4">
      <w:pPr>
        <w:pStyle w:val="SingleTxtG"/>
        <w:rPr>
          <w:sz w:val="20"/>
          <w:lang w:eastAsia="en-GB"/>
        </w:rPr>
      </w:pPr>
      <w:r w:rsidRPr="00356AA1">
        <w:rPr>
          <w:sz w:val="20"/>
          <w:lang w:eastAsia="en-GB"/>
        </w:rPr>
        <w:t>4</w:t>
      </w:r>
      <w:r w:rsidR="00781044">
        <w:rPr>
          <w:sz w:val="20"/>
          <w:lang w:eastAsia="en-GB"/>
        </w:rPr>
        <w:t>8</w:t>
      </w:r>
      <w:r w:rsidRPr="00356AA1">
        <w:rPr>
          <w:sz w:val="20"/>
          <w:lang w:eastAsia="en-GB"/>
        </w:rPr>
        <w:t>.</w:t>
      </w:r>
      <w:r w:rsidRPr="00356AA1">
        <w:rPr>
          <w:sz w:val="20"/>
          <w:lang w:eastAsia="en-GB"/>
        </w:rPr>
        <w:tab/>
      </w:r>
      <w:r w:rsidR="00383591" w:rsidRPr="00356AA1">
        <w:rPr>
          <w:sz w:val="20"/>
          <w:lang w:eastAsia="en-GB"/>
        </w:rPr>
        <w:t xml:space="preserve">Criminal justice efforts in </w:t>
      </w:r>
      <w:r w:rsidR="00A217A5" w:rsidRPr="00356AA1">
        <w:rPr>
          <w:sz w:val="20"/>
        </w:rPr>
        <w:t xml:space="preserve">Northern Ireland </w:t>
      </w:r>
      <w:r w:rsidR="00383591" w:rsidRPr="00356AA1">
        <w:rPr>
          <w:sz w:val="20"/>
          <w:lang w:eastAsia="en-GB"/>
        </w:rPr>
        <w:t xml:space="preserve">are not so much marked by their paucity </w:t>
      </w:r>
      <w:r w:rsidR="00E846A9" w:rsidRPr="00356AA1">
        <w:rPr>
          <w:sz w:val="20"/>
          <w:lang w:eastAsia="en-GB"/>
        </w:rPr>
        <w:t xml:space="preserve">as </w:t>
      </w:r>
      <w:r w:rsidR="00383591" w:rsidRPr="00356AA1">
        <w:rPr>
          <w:sz w:val="20"/>
          <w:lang w:eastAsia="en-GB"/>
        </w:rPr>
        <w:t>by their perceived partiality and incomplete</w:t>
      </w:r>
      <w:r w:rsidR="00365D15" w:rsidRPr="00356AA1">
        <w:rPr>
          <w:sz w:val="20"/>
          <w:lang w:eastAsia="en-GB"/>
        </w:rPr>
        <w:t xml:space="preserve"> </w:t>
      </w:r>
      <w:r w:rsidR="00383591" w:rsidRPr="00356AA1">
        <w:rPr>
          <w:sz w:val="20"/>
          <w:lang w:eastAsia="en-GB"/>
        </w:rPr>
        <w:t>n</w:t>
      </w:r>
      <w:r w:rsidR="00365D15" w:rsidRPr="00356AA1">
        <w:rPr>
          <w:sz w:val="20"/>
          <w:lang w:eastAsia="en-GB"/>
        </w:rPr>
        <w:t>ature</w:t>
      </w:r>
      <w:r w:rsidR="00383591" w:rsidRPr="00356AA1">
        <w:rPr>
          <w:sz w:val="20"/>
          <w:lang w:eastAsia="en-GB"/>
        </w:rPr>
        <w:t>.</w:t>
      </w:r>
      <w:r w:rsidR="00781044">
        <w:rPr>
          <w:sz w:val="20"/>
          <w:lang w:eastAsia="en-GB"/>
        </w:rPr>
        <w:t xml:space="preserve"> </w:t>
      </w:r>
    </w:p>
    <w:p w:rsidR="00FF4737" w:rsidRPr="00356AA1" w:rsidRDefault="00781044">
      <w:pPr>
        <w:pStyle w:val="SingleTxtG"/>
        <w:rPr>
          <w:sz w:val="20"/>
          <w:lang w:eastAsia="en-GB"/>
        </w:rPr>
      </w:pPr>
      <w:r>
        <w:rPr>
          <w:sz w:val="20"/>
          <w:lang w:eastAsia="en-GB"/>
        </w:rPr>
        <w:t>49</w:t>
      </w:r>
      <w:r w:rsidR="00383591" w:rsidRPr="00356AA1">
        <w:rPr>
          <w:sz w:val="20"/>
          <w:lang w:eastAsia="en-GB"/>
        </w:rPr>
        <w:t>.</w:t>
      </w:r>
      <w:r w:rsidR="00383591" w:rsidRPr="00356AA1">
        <w:rPr>
          <w:sz w:val="20"/>
          <w:lang w:eastAsia="en-GB"/>
        </w:rPr>
        <w:tab/>
        <w:t xml:space="preserve">Despite requests </w:t>
      </w:r>
      <w:r w:rsidR="00383591" w:rsidRPr="00356AA1">
        <w:rPr>
          <w:sz w:val="20"/>
        </w:rPr>
        <w:t xml:space="preserve">to various relevant parties, surprisingly no entity could provide </w:t>
      </w:r>
      <w:r w:rsidR="00365D15" w:rsidRPr="00356AA1">
        <w:rPr>
          <w:sz w:val="20"/>
        </w:rPr>
        <w:t xml:space="preserve">the Special Rapporteur with </w:t>
      </w:r>
      <w:r w:rsidR="00383591" w:rsidRPr="00356AA1">
        <w:rPr>
          <w:sz w:val="20"/>
        </w:rPr>
        <w:t xml:space="preserve">comprehensive data on </w:t>
      </w:r>
      <w:r w:rsidR="00365D15" w:rsidRPr="00356AA1">
        <w:rPr>
          <w:sz w:val="20"/>
        </w:rPr>
        <w:t xml:space="preserve">the </w:t>
      </w:r>
      <w:r w:rsidR="00383591" w:rsidRPr="00356AA1">
        <w:rPr>
          <w:sz w:val="20"/>
        </w:rPr>
        <w:t xml:space="preserve">prosecution of </w:t>
      </w:r>
      <w:r w:rsidR="00365D15" w:rsidRPr="00356AA1">
        <w:rPr>
          <w:sz w:val="20"/>
        </w:rPr>
        <w:t>S</w:t>
      </w:r>
      <w:r w:rsidR="00383591" w:rsidRPr="00356AA1">
        <w:rPr>
          <w:sz w:val="20"/>
        </w:rPr>
        <w:t xml:space="preserve">tate </w:t>
      </w:r>
      <w:r w:rsidR="00365D15" w:rsidRPr="00356AA1">
        <w:rPr>
          <w:sz w:val="20"/>
        </w:rPr>
        <w:t xml:space="preserve">or </w:t>
      </w:r>
      <w:r w:rsidR="00383591" w:rsidRPr="00356AA1">
        <w:rPr>
          <w:sz w:val="20"/>
        </w:rPr>
        <w:t>non-</w:t>
      </w:r>
      <w:r w:rsidR="00365D15" w:rsidRPr="00356AA1">
        <w:rPr>
          <w:sz w:val="20"/>
        </w:rPr>
        <w:t>S</w:t>
      </w:r>
      <w:r w:rsidR="00383591" w:rsidRPr="00356AA1">
        <w:rPr>
          <w:sz w:val="20"/>
        </w:rPr>
        <w:t>tate actors relating to the conflict. The U</w:t>
      </w:r>
      <w:r w:rsidR="00365D15" w:rsidRPr="00356AA1">
        <w:rPr>
          <w:sz w:val="20"/>
        </w:rPr>
        <w:t xml:space="preserve">nited </w:t>
      </w:r>
      <w:r w:rsidR="00383591" w:rsidRPr="00356AA1">
        <w:rPr>
          <w:sz w:val="20"/>
        </w:rPr>
        <w:t>K</w:t>
      </w:r>
      <w:r w:rsidR="00365D15" w:rsidRPr="00356AA1">
        <w:rPr>
          <w:sz w:val="20"/>
        </w:rPr>
        <w:t>ingdom</w:t>
      </w:r>
      <w:r w:rsidR="00383591" w:rsidRPr="00356AA1">
        <w:rPr>
          <w:sz w:val="20"/>
        </w:rPr>
        <w:t xml:space="preserve"> </w:t>
      </w:r>
      <w:r w:rsidR="00365D15" w:rsidRPr="00356AA1">
        <w:rPr>
          <w:sz w:val="20"/>
        </w:rPr>
        <w:t xml:space="preserve">might well </w:t>
      </w:r>
      <w:r w:rsidR="00383591" w:rsidRPr="00356AA1">
        <w:rPr>
          <w:sz w:val="20"/>
        </w:rPr>
        <w:t>be expected to record and maintain such information, including basic facts</w:t>
      </w:r>
      <w:r w:rsidR="00365D15" w:rsidRPr="00356AA1">
        <w:rPr>
          <w:sz w:val="20"/>
        </w:rPr>
        <w:t>, such as</w:t>
      </w:r>
      <w:r w:rsidR="00383591" w:rsidRPr="00356AA1">
        <w:rPr>
          <w:sz w:val="20"/>
        </w:rPr>
        <w:t xml:space="preserve"> the number of prosecutions </w:t>
      </w:r>
      <w:r w:rsidR="00365D15" w:rsidRPr="00356AA1">
        <w:rPr>
          <w:sz w:val="20"/>
        </w:rPr>
        <w:t xml:space="preserve">brought </w:t>
      </w:r>
      <w:r w:rsidR="00383591" w:rsidRPr="00356AA1">
        <w:rPr>
          <w:sz w:val="20"/>
        </w:rPr>
        <w:t xml:space="preserve">against </w:t>
      </w:r>
      <w:r w:rsidR="00365D15" w:rsidRPr="00356AA1">
        <w:rPr>
          <w:sz w:val="20"/>
        </w:rPr>
        <w:t>S</w:t>
      </w:r>
      <w:r w:rsidR="00383591" w:rsidRPr="00356AA1">
        <w:rPr>
          <w:sz w:val="20"/>
        </w:rPr>
        <w:t>tate and non-</w:t>
      </w:r>
      <w:r w:rsidR="00365D15" w:rsidRPr="00356AA1">
        <w:rPr>
          <w:sz w:val="20"/>
        </w:rPr>
        <w:t>S</w:t>
      </w:r>
      <w:r w:rsidR="00383591" w:rsidRPr="00356AA1">
        <w:rPr>
          <w:sz w:val="20"/>
        </w:rPr>
        <w:t>tate actors.</w:t>
      </w:r>
      <w:r w:rsidR="00383591" w:rsidRPr="00356AA1">
        <w:rPr>
          <w:sz w:val="20"/>
          <w:lang w:eastAsia="en-GB"/>
        </w:rPr>
        <w:t xml:space="preserve"> </w:t>
      </w:r>
    </w:p>
    <w:p w:rsidR="00FF4737" w:rsidRPr="00356AA1" w:rsidRDefault="00383591">
      <w:pPr>
        <w:pStyle w:val="SingleTxtG"/>
        <w:rPr>
          <w:sz w:val="20"/>
          <w:lang w:eastAsia="en-GB"/>
        </w:rPr>
      </w:pPr>
      <w:r w:rsidRPr="00356AA1">
        <w:rPr>
          <w:sz w:val="20"/>
          <w:lang w:eastAsia="en-GB"/>
        </w:rPr>
        <w:t>5</w:t>
      </w:r>
      <w:r w:rsidR="00781044">
        <w:rPr>
          <w:sz w:val="20"/>
          <w:lang w:eastAsia="en-GB"/>
        </w:rPr>
        <w:t>0</w:t>
      </w:r>
      <w:r w:rsidRPr="00356AA1">
        <w:rPr>
          <w:sz w:val="20"/>
          <w:lang w:eastAsia="en-GB"/>
        </w:rPr>
        <w:t>.</w:t>
      </w:r>
      <w:r w:rsidRPr="00356AA1">
        <w:rPr>
          <w:sz w:val="20"/>
          <w:lang w:eastAsia="en-GB"/>
        </w:rPr>
        <w:tab/>
        <w:t>Th</w:t>
      </w:r>
      <w:r w:rsidR="00365D15" w:rsidRPr="00356AA1">
        <w:rPr>
          <w:sz w:val="20"/>
          <w:lang w:eastAsia="en-GB"/>
        </w:rPr>
        <w:t>e</w:t>
      </w:r>
      <w:r w:rsidRPr="00356AA1">
        <w:rPr>
          <w:sz w:val="20"/>
          <w:lang w:eastAsia="en-GB"/>
        </w:rPr>
        <w:t xml:space="preserve"> </w:t>
      </w:r>
      <w:r w:rsidR="00365D15" w:rsidRPr="00356AA1">
        <w:rPr>
          <w:sz w:val="20"/>
          <w:lang w:eastAsia="en-GB"/>
        </w:rPr>
        <w:t xml:space="preserve">above-described situation strengthens </w:t>
      </w:r>
      <w:r w:rsidRPr="00356AA1">
        <w:rPr>
          <w:sz w:val="20"/>
          <w:lang w:eastAsia="en-GB"/>
        </w:rPr>
        <w:t>the</w:t>
      </w:r>
      <w:r w:rsidR="00365D15" w:rsidRPr="00356AA1">
        <w:rPr>
          <w:sz w:val="20"/>
          <w:lang w:eastAsia="en-GB"/>
        </w:rPr>
        <w:t xml:space="preserve"> merit of</w:t>
      </w:r>
      <w:r w:rsidRPr="00356AA1">
        <w:rPr>
          <w:sz w:val="20"/>
          <w:lang w:eastAsia="en-GB"/>
        </w:rPr>
        <w:t xml:space="preserve"> recommendations </w:t>
      </w:r>
      <w:r w:rsidR="00365D15" w:rsidRPr="00356AA1">
        <w:rPr>
          <w:sz w:val="20"/>
          <w:lang w:eastAsia="en-GB"/>
        </w:rPr>
        <w:t xml:space="preserve">in </w:t>
      </w:r>
      <w:r w:rsidRPr="00356AA1">
        <w:rPr>
          <w:sz w:val="20"/>
          <w:lang w:eastAsia="en-GB"/>
        </w:rPr>
        <w:t xml:space="preserve">favour </w:t>
      </w:r>
      <w:r w:rsidR="00365D15" w:rsidRPr="00356AA1">
        <w:rPr>
          <w:sz w:val="20"/>
          <w:lang w:eastAsia="en-GB"/>
        </w:rPr>
        <w:t xml:space="preserve">of </w:t>
      </w:r>
      <w:r w:rsidRPr="00356AA1">
        <w:rPr>
          <w:sz w:val="20"/>
          <w:lang w:eastAsia="en-GB"/>
        </w:rPr>
        <w:t>a single truth-seeking mechanism that would not only attempt to shed light on unresolved cases (</w:t>
      </w:r>
      <w:r w:rsidR="00365D15" w:rsidRPr="00356AA1">
        <w:rPr>
          <w:sz w:val="20"/>
          <w:lang w:eastAsia="en-GB"/>
        </w:rPr>
        <w:t xml:space="preserve">which constitute </w:t>
      </w:r>
      <w:r w:rsidRPr="00356AA1">
        <w:rPr>
          <w:sz w:val="20"/>
          <w:lang w:eastAsia="en-GB"/>
        </w:rPr>
        <w:t xml:space="preserve">the majority) and on their patterns, but would </w:t>
      </w:r>
      <w:r w:rsidR="00365D15" w:rsidRPr="00356AA1">
        <w:rPr>
          <w:sz w:val="20"/>
          <w:lang w:eastAsia="en-GB"/>
        </w:rPr>
        <w:t xml:space="preserve">also </w:t>
      </w:r>
      <w:r w:rsidRPr="00356AA1">
        <w:rPr>
          <w:sz w:val="20"/>
          <w:lang w:eastAsia="en-GB"/>
        </w:rPr>
        <w:lastRenderedPageBreak/>
        <w:t xml:space="preserve">systematically collect and present all relevant action and information </w:t>
      </w:r>
      <w:r w:rsidR="00365D15" w:rsidRPr="00356AA1">
        <w:rPr>
          <w:sz w:val="20"/>
          <w:lang w:eastAsia="en-GB"/>
        </w:rPr>
        <w:t xml:space="preserve">on </w:t>
      </w:r>
      <w:r w:rsidRPr="00356AA1">
        <w:rPr>
          <w:sz w:val="20"/>
          <w:lang w:eastAsia="en-GB"/>
        </w:rPr>
        <w:t xml:space="preserve">what has been done in the domain of justice </w:t>
      </w:r>
      <w:r w:rsidR="00365D15" w:rsidRPr="00356AA1">
        <w:rPr>
          <w:sz w:val="20"/>
          <w:lang w:eastAsia="en-GB"/>
        </w:rPr>
        <w:t>to date</w:t>
      </w:r>
      <w:r w:rsidRPr="00356AA1">
        <w:rPr>
          <w:sz w:val="20"/>
          <w:lang w:eastAsia="en-GB"/>
        </w:rPr>
        <w:t xml:space="preserve">. An overall </w:t>
      </w:r>
      <w:r w:rsidR="00365D15" w:rsidRPr="00356AA1">
        <w:rPr>
          <w:sz w:val="20"/>
          <w:lang w:eastAsia="en-GB"/>
        </w:rPr>
        <w:t xml:space="preserve">assessment </w:t>
      </w:r>
      <w:r w:rsidRPr="00356AA1">
        <w:rPr>
          <w:sz w:val="20"/>
          <w:lang w:eastAsia="en-GB"/>
        </w:rPr>
        <w:t xml:space="preserve">of the initiatives undertaken </w:t>
      </w:r>
      <w:r w:rsidR="00365D15" w:rsidRPr="00356AA1">
        <w:rPr>
          <w:sz w:val="20"/>
          <w:lang w:eastAsia="en-GB"/>
        </w:rPr>
        <w:t xml:space="preserve">over </w:t>
      </w:r>
      <w:r w:rsidRPr="00356AA1">
        <w:rPr>
          <w:sz w:val="20"/>
          <w:lang w:eastAsia="en-GB"/>
        </w:rPr>
        <w:t xml:space="preserve">a period of decades and of those yet to be </w:t>
      </w:r>
      <w:r w:rsidR="00365D15" w:rsidRPr="00356AA1">
        <w:rPr>
          <w:sz w:val="20"/>
          <w:lang w:eastAsia="en-GB"/>
        </w:rPr>
        <w:t xml:space="preserve">implemented </w:t>
      </w:r>
      <w:r w:rsidRPr="00356AA1">
        <w:rPr>
          <w:sz w:val="20"/>
          <w:lang w:eastAsia="en-GB"/>
        </w:rPr>
        <w:t>must include information about what has been accomplished (or not)</w:t>
      </w:r>
      <w:r w:rsidR="00365D15" w:rsidRPr="00356AA1">
        <w:rPr>
          <w:sz w:val="20"/>
          <w:lang w:eastAsia="en-GB"/>
        </w:rPr>
        <w:t xml:space="preserve"> to the present day</w:t>
      </w:r>
      <w:r w:rsidRPr="00356AA1">
        <w:rPr>
          <w:sz w:val="20"/>
          <w:lang w:eastAsia="en-GB"/>
        </w:rPr>
        <w:t xml:space="preserve">, </w:t>
      </w:r>
      <w:r w:rsidR="00833513" w:rsidRPr="00356AA1">
        <w:rPr>
          <w:sz w:val="20"/>
          <w:lang w:eastAsia="en-GB"/>
        </w:rPr>
        <w:t>so that</w:t>
      </w:r>
      <w:r w:rsidRPr="00356AA1">
        <w:rPr>
          <w:sz w:val="20"/>
          <w:lang w:eastAsia="en-GB"/>
        </w:rPr>
        <w:t xml:space="preserve"> successes and failures</w:t>
      </w:r>
      <w:r w:rsidR="00833513" w:rsidRPr="00356AA1">
        <w:rPr>
          <w:sz w:val="20"/>
          <w:lang w:eastAsia="en-GB"/>
        </w:rPr>
        <w:t xml:space="preserve"> may be measured</w:t>
      </w:r>
      <w:r w:rsidRPr="00356AA1">
        <w:rPr>
          <w:sz w:val="20"/>
          <w:lang w:eastAsia="en-GB"/>
        </w:rPr>
        <w:t xml:space="preserve">. </w:t>
      </w:r>
    </w:p>
    <w:p w:rsidR="00FF4737" w:rsidRPr="00356AA1" w:rsidRDefault="00383591">
      <w:pPr>
        <w:pStyle w:val="SingleTxtG"/>
        <w:rPr>
          <w:sz w:val="20"/>
        </w:rPr>
      </w:pPr>
      <w:r w:rsidRPr="00356AA1">
        <w:rPr>
          <w:sz w:val="20"/>
        </w:rPr>
        <w:t>5</w:t>
      </w:r>
      <w:r w:rsidR="00781044">
        <w:rPr>
          <w:sz w:val="20"/>
        </w:rPr>
        <w:t>1</w:t>
      </w:r>
      <w:r w:rsidRPr="00356AA1">
        <w:rPr>
          <w:sz w:val="20"/>
        </w:rPr>
        <w:t>.</w:t>
      </w:r>
      <w:r w:rsidRPr="00356AA1">
        <w:rPr>
          <w:sz w:val="20"/>
        </w:rPr>
        <w:tab/>
      </w:r>
      <w:r w:rsidR="00833513" w:rsidRPr="00356AA1">
        <w:rPr>
          <w:sz w:val="20"/>
        </w:rPr>
        <w:t xml:space="preserve">The response of the Government of the United Kingdom </w:t>
      </w:r>
      <w:r w:rsidRPr="00356AA1">
        <w:rPr>
          <w:sz w:val="20"/>
        </w:rPr>
        <w:t xml:space="preserve">to the Troubles was </w:t>
      </w:r>
      <w:r w:rsidR="00833513" w:rsidRPr="00356AA1">
        <w:rPr>
          <w:sz w:val="20"/>
        </w:rPr>
        <w:t>marked by its punitive approach</w:t>
      </w:r>
      <w:r w:rsidRPr="00356AA1">
        <w:rPr>
          <w:sz w:val="20"/>
        </w:rPr>
        <w:t xml:space="preserve">. </w:t>
      </w:r>
      <w:r w:rsidR="00833513" w:rsidRPr="00356AA1">
        <w:rPr>
          <w:sz w:val="20"/>
        </w:rPr>
        <w:t xml:space="preserve">It is </w:t>
      </w:r>
      <w:r w:rsidRPr="00356AA1">
        <w:rPr>
          <w:sz w:val="20"/>
          <w:lang w:eastAsia="en-GB"/>
        </w:rPr>
        <w:t xml:space="preserve">estimated </w:t>
      </w:r>
      <w:r w:rsidR="00833513" w:rsidRPr="00356AA1">
        <w:rPr>
          <w:sz w:val="20"/>
          <w:lang w:eastAsia="en-GB"/>
        </w:rPr>
        <w:t xml:space="preserve">that between </w:t>
      </w:r>
      <w:r w:rsidRPr="00356AA1">
        <w:rPr>
          <w:sz w:val="20"/>
          <w:lang w:eastAsia="en-GB"/>
        </w:rPr>
        <w:t>20,000</w:t>
      </w:r>
      <w:r w:rsidR="00833513" w:rsidRPr="00356AA1">
        <w:rPr>
          <w:sz w:val="20"/>
          <w:lang w:eastAsia="en-GB"/>
        </w:rPr>
        <w:t xml:space="preserve"> and </w:t>
      </w:r>
      <w:r w:rsidRPr="00356AA1">
        <w:rPr>
          <w:sz w:val="20"/>
          <w:lang w:eastAsia="en-GB"/>
        </w:rPr>
        <w:t xml:space="preserve">40,000 </w:t>
      </w:r>
      <w:r w:rsidR="00833513" w:rsidRPr="00356AA1">
        <w:rPr>
          <w:sz w:val="20"/>
          <w:lang w:eastAsia="en-GB"/>
        </w:rPr>
        <w:t xml:space="preserve">people, </w:t>
      </w:r>
      <w:r w:rsidRPr="00356AA1">
        <w:rPr>
          <w:sz w:val="20"/>
          <w:lang w:eastAsia="en-GB"/>
        </w:rPr>
        <w:t xml:space="preserve">both </w:t>
      </w:r>
      <w:r w:rsidR="00833513" w:rsidRPr="00356AA1">
        <w:rPr>
          <w:sz w:val="20"/>
          <w:lang w:eastAsia="en-GB"/>
        </w:rPr>
        <w:t>R</w:t>
      </w:r>
      <w:r w:rsidRPr="00356AA1">
        <w:rPr>
          <w:sz w:val="20"/>
          <w:lang w:eastAsia="en-GB"/>
        </w:rPr>
        <w:t>epublican</w:t>
      </w:r>
      <w:r w:rsidR="00833513" w:rsidRPr="00356AA1">
        <w:rPr>
          <w:sz w:val="20"/>
          <w:lang w:eastAsia="en-GB"/>
        </w:rPr>
        <w:t>s</w:t>
      </w:r>
      <w:r w:rsidRPr="00356AA1">
        <w:rPr>
          <w:sz w:val="20"/>
          <w:lang w:eastAsia="en-GB"/>
        </w:rPr>
        <w:t xml:space="preserve"> and loyalists</w:t>
      </w:r>
      <w:r w:rsidR="00833513" w:rsidRPr="00356AA1">
        <w:rPr>
          <w:sz w:val="20"/>
          <w:lang w:eastAsia="en-GB"/>
        </w:rPr>
        <w:t>,</w:t>
      </w:r>
      <w:r w:rsidRPr="00356AA1">
        <w:rPr>
          <w:sz w:val="20"/>
          <w:lang w:eastAsia="en-GB"/>
        </w:rPr>
        <w:t xml:space="preserve"> spent time in prison.</w:t>
      </w:r>
      <w:r w:rsidRPr="007950F8">
        <w:rPr>
          <w:rStyle w:val="FootnoteReference"/>
          <w:szCs w:val="18"/>
          <w:lang w:eastAsia="en-GB"/>
        </w:rPr>
        <w:footnoteReference w:id="7"/>
      </w:r>
      <w:r w:rsidRPr="00356AA1">
        <w:rPr>
          <w:sz w:val="20"/>
          <w:lang w:eastAsia="en-GB"/>
        </w:rPr>
        <w:t xml:space="preserve"> </w:t>
      </w:r>
      <w:r w:rsidR="005E61D6" w:rsidRPr="00356AA1">
        <w:rPr>
          <w:sz w:val="20"/>
          <w:lang w:eastAsia="en-GB"/>
        </w:rPr>
        <w:t>According to the</w:t>
      </w:r>
      <w:r w:rsidRPr="00356AA1">
        <w:rPr>
          <w:sz w:val="20"/>
          <w:lang w:eastAsia="en-GB"/>
        </w:rPr>
        <w:t xml:space="preserve"> P</w:t>
      </w:r>
      <w:r w:rsidR="005E61D6" w:rsidRPr="00356AA1">
        <w:rPr>
          <w:sz w:val="20"/>
          <w:lang w:eastAsia="en-GB"/>
        </w:rPr>
        <w:t xml:space="preserve">olice </w:t>
      </w:r>
      <w:r w:rsidRPr="00356AA1">
        <w:rPr>
          <w:sz w:val="20"/>
          <w:lang w:eastAsia="en-GB"/>
        </w:rPr>
        <w:t>S</w:t>
      </w:r>
      <w:r w:rsidR="005E61D6" w:rsidRPr="00356AA1">
        <w:rPr>
          <w:sz w:val="20"/>
          <w:lang w:eastAsia="en-GB"/>
        </w:rPr>
        <w:t xml:space="preserve">ervice of </w:t>
      </w:r>
      <w:r w:rsidRPr="00356AA1">
        <w:rPr>
          <w:sz w:val="20"/>
          <w:lang w:eastAsia="en-GB"/>
        </w:rPr>
        <w:t>N</w:t>
      </w:r>
      <w:r w:rsidR="005E61D6" w:rsidRPr="00356AA1">
        <w:rPr>
          <w:sz w:val="20"/>
          <w:lang w:eastAsia="en-GB"/>
        </w:rPr>
        <w:t xml:space="preserve">orthern </w:t>
      </w:r>
      <w:r w:rsidRPr="00356AA1">
        <w:rPr>
          <w:sz w:val="20"/>
          <w:lang w:eastAsia="en-GB"/>
        </w:rPr>
        <w:t>I</w:t>
      </w:r>
      <w:r w:rsidR="005E61D6" w:rsidRPr="00356AA1">
        <w:rPr>
          <w:sz w:val="20"/>
          <w:lang w:eastAsia="en-GB"/>
        </w:rPr>
        <w:t>reland,</w:t>
      </w:r>
      <w:r w:rsidRPr="00356AA1">
        <w:rPr>
          <w:sz w:val="20"/>
          <w:lang w:eastAsia="en-GB"/>
        </w:rPr>
        <w:t xml:space="preserve"> 19,605 pe</w:t>
      </w:r>
      <w:r w:rsidR="005E61D6" w:rsidRPr="00356AA1">
        <w:rPr>
          <w:sz w:val="20"/>
          <w:lang w:eastAsia="en-GB"/>
        </w:rPr>
        <w:t xml:space="preserve">ople </w:t>
      </w:r>
      <w:r w:rsidRPr="00356AA1">
        <w:rPr>
          <w:sz w:val="20"/>
          <w:lang w:eastAsia="en-GB"/>
        </w:rPr>
        <w:t>were charged with terrorist and other serious offen</w:t>
      </w:r>
      <w:r w:rsidR="00C06C09" w:rsidRPr="00356AA1">
        <w:rPr>
          <w:sz w:val="20"/>
          <w:lang w:eastAsia="en-GB"/>
        </w:rPr>
        <w:t>c</w:t>
      </w:r>
      <w:r w:rsidRPr="00356AA1">
        <w:rPr>
          <w:sz w:val="20"/>
          <w:lang w:eastAsia="en-GB"/>
        </w:rPr>
        <w:t>es from 1969</w:t>
      </w:r>
      <w:r w:rsidR="00C06C09" w:rsidRPr="00356AA1">
        <w:rPr>
          <w:sz w:val="20"/>
          <w:lang w:eastAsia="en-GB"/>
        </w:rPr>
        <w:t xml:space="preserve"> to </w:t>
      </w:r>
      <w:r w:rsidRPr="00356AA1">
        <w:rPr>
          <w:sz w:val="20"/>
          <w:lang w:eastAsia="en-GB"/>
        </w:rPr>
        <w:t>2003.</w:t>
      </w:r>
      <w:r w:rsidRPr="007950F8">
        <w:rPr>
          <w:rStyle w:val="FootnoteReference"/>
          <w:szCs w:val="18"/>
          <w:lang w:eastAsia="en-GB"/>
        </w:rPr>
        <w:footnoteReference w:id="8"/>
      </w:r>
      <w:r w:rsidRPr="00356AA1">
        <w:rPr>
          <w:sz w:val="20"/>
          <w:lang w:eastAsia="en-GB"/>
        </w:rPr>
        <w:t xml:space="preserve"> D</w:t>
      </w:r>
      <w:r w:rsidRPr="00356AA1">
        <w:rPr>
          <w:sz w:val="20"/>
        </w:rPr>
        <w:t xml:space="preserve">uring the Troubles, </w:t>
      </w:r>
      <w:r w:rsidR="00A217A5" w:rsidRPr="00356AA1">
        <w:rPr>
          <w:sz w:val="20"/>
        </w:rPr>
        <w:t xml:space="preserve">Northern Ireland </w:t>
      </w:r>
      <w:r w:rsidRPr="00356AA1">
        <w:rPr>
          <w:sz w:val="20"/>
        </w:rPr>
        <w:t>had among the lowest crime rates in Western Europe</w:t>
      </w:r>
      <w:r w:rsidR="002330C1" w:rsidRPr="00356AA1">
        <w:rPr>
          <w:sz w:val="20"/>
        </w:rPr>
        <w:t>, but</w:t>
      </w:r>
      <w:r w:rsidRPr="00356AA1">
        <w:rPr>
          <w:sz w:val="20"/>
        </w:rPr>
        <w:t xml:space="preserve"> one of the highest rates of imprisonment per capita (with three-quarters of the prison population convicted of conflict-related offences).</w:t>
      </w:r>
      <w:r w:rsidRPr="00BE1293">
        <w:rPr>
          <w:rStyle w:val="FootnoteReference"/>
        </w:rPr>
        <w:footnoteReference w:id="9"/>
      </w:r>
      <w:r w:rsidR="00781044">
        <w:rPr>
          <w:sz w:val="20"/>
        </w:rPr>
        <w:t xml:space="preserve"> </w:t>
      </w:r>
    </w:p>
    <w:p w:rsidR="00FF4737" w:rsidRPr="00FF4737" w:rsidRDefault="00383591">
      <w:pPr>
        <w:pStyle w:val="SingleTxtG"/>
        <w:rPr>
          <w:lang w:eastAsia="en-GB"/>
        </w:rPr>
      </w:pPr>
      <w:r w:rsidRPr="00356AA1">
        <w:rPr>
          <w:sz w:val="20"/>
          <w:lang w:eastAsia="en-GB"/>
        </w:rPr>
        <w:t>5</w:t>
      </w:r>
      <w:r w:rsidR="00781044">
        <w:rPr>
          <w:sz w:val="20"/>
          <w:lang w:eastAsia="en-GB"/>
        </w:rPr>
        <w:t>2</w:t>
      </w:r>
      <w:r w:rsidRPr="00356AA1">
        <w:rPr>
          <w:sz w:val="20"/>
          <w:lang w:eastAsia="en-GB"/>
        </w:rPr>
        <w:t>.</w:t>
      </w:r>
      <w:r w:rsidRPr="00356AA1">
        <w:rPr>
          <w:sz w:val="20"/>
          <w:lang w:eastAsia="en-GB"/>
        </w:rPr>
        <w:tab/>
        <w:t xml:space="preserve">Data available </w:t>
      </w:r>
      <w:r w:rsidR="00C203C8" w:rsidRPr="00356AA1">
        <w:rPr>
          <w:sz w:val="20"/>
          <w:lang w:eastAsia="en-GB"/>
        </w:rPr>
        <w:t xml:space="preserve">are </w:t>
      </w:r>
      <w:r w:rsidRPr="00356AA1">
        <w:rPr>
          <w:sz w:val="20"/>
          <w:lang w:eastAsia="en-GB"/>
        </w:rPr>
        <w:t>insufficiently analysed and disaggregated (</w:t>
      </w:r>
      <w:r w:rsidR="00B93811">
        <w:rPr>
          <w:sz w:val="20"/>
          <w:lang w:eastAsia="en-GB"/>
        </w:rPr>
        <w:t xml:space="preserve">such as </w:t>
      </w:r>
      <w:r w:rsidRPr="00356AA1">
        <w:rPr>
          <w:sz w:val="20"/>
          <w:lang w:eastAsia="en-GB"/>
        </w:rPr>
        <w:t>by charge, group membership</w:t>
      </w:r>
      <w:r w:rsidR="00B93811">
        <w:rPr>
          <w:sz w:val="20"/>
          <w:lang w:eastAsia="en-GB"/>
        </w:rPr>
        <w:t xml:space="preserve"> and</w:t>
      </w:r>
      <w:r w:rsidRPr="00356AA1">
        <w:rPr>
          <w:sz w:val="20"/>
          <w:lang w:eastAsia="en-GB"/>
        </w:rPr>
        <w:t xml:space="preserve"> length of sentence) to allow a thorough evaluation of the justice system. Aggregate figures cannot dispel </w:t>
      </w:r>
      <w:r w:rsidR="00B93811">
        <w:rPr>
          <w:sz w:val="20"/>
          <w:lang w:eastAsia="en-GB"/>
        </w:rPr>
        <w:t xml:space="preserve">the </w:t>
      </w:r>
      <w:r w:rsidRPr="00356AA1">
        <w:rPr>
          <w:sz w:val="20"/>
          <w:lang w:eastAsia="en-GB"/>
        </w:rPr>
        <w:t xml:space="preserve">perceived bias in the distribution of investigative, prosecutorial and punitive efforts, and </w:t>
      </w:r>
      <w:r w:rsidR="00B93811">
        <w:rPr>
          <w:sz w:val="20"/>
          <w:lang w:eastAsia="en-GB"/>
        </w:rPr>
        <w:t xml:space="preserve">in fact </w:t>
      </w:r>
      <w:r w:rsidRPr="00356AA1">
        <w:rPr>
          <w:sz w:val="20"/>
          <w:lang w:eastAsia="en-GB"/>
        </w:rPr>
        <w:t xml:space="preserve">fuel continuing mistrust in </w:t>
      </w:r>
      <w:r w:rsidR="00B93811">
        <w:rPr>
          <w:sz w:val="20"/>
          <w:lang w:eastAsia="en-GB"/>
        </w:rPr>
        <w:t xml:space="preserve">the </w:t>
      </w:r>
      <w:r w:rsidRPr="00356AA1">
        <w:rPr>
          <w:sz w:val="20"/>
          <w:lang w:eastAsia="en-GB"/>
        </w:rPr>
        <w:t xml:space="preserve">institutions. The table </w:t>
      </w:r>
      <w:r w:rsidR="00185107">
        <w:rPr>
          <w:sz w:val="20"/>
          <w:lang w:eastAsia="en-GB"/>
        </w:rPr>
        <w:t xml:space="preserve">below contains </w:t>
      </w:r>
      <w:r w:rsidRPr="00356AA1">
        <w:rPr>
          <w:sz w:val="20"/>
          <w:lang w:eastAsia="en-GB"/>
        </w:rPr>
        <w:t>the information available on the affiliation of those killed</w:t>
      </w:r>
      <w:r w:rsidR="0005512F">
        <w:rPr>
          <w:sz w:val="20"/>
          <w:lang w:eastAsia="en-GB"/>
        </w:rPr>
        <w:t xml:space="preserve"> and of those responsible</w:t>
      </w:r>
      <w:r w:rsidR="00185107">
        <w:rPr>
          <w:sz w:val="20"/>
          <w:lang w:eastAsia="en-GB"/>
        </w:rPr>
        <w:t>.</w:t>
      </w:r>
      <w:r w:rsidRPr="00FF4737">
        <w:rPr>
          <w:rStyle w:val="FootnoteReference"/>
          <w:lang w:eastAsia="en-GB"/>
        </w:rPr>
        <w:footnoteReference w:id="10"/>
      </w:r>
    </w:p>
    <w:p w:rsidR="00A617AC" w:rsidRPr="00356AA1" w:rsidRDefault="00A617AC" w:rsidP="00356AA1">
      <w:pPr>
        <w:pStyle w:val="H23G"/>
        <w:spacing w:line="240" w:lineRule="atLeast"/>
        <w:rPr>
          <w:sz w:val="20"/>
          <w:lang w:eastAsia="en-GB"/>
        </w:rPr>
      </w:pPr>
      <w:r w:rsidRPr="00356AA1">
        <w:rPr>
          <w:sz w:val="20"/>
        </w:rPr>
        <w:tab/>
      </w:r>
      <w:r w:rsidRPr="00356AA1">
        <w:rPr>
          <w:sz w:val="20"/>
        </w:rPr>
        <w:tab/>
        <w:t>Number</w:t>
      </w:r>
      <w:r w:rsidRPr="00356AA1">
        <w:rPr>
          <w:spacing w:val="8"/>
          <w:sz w:val="20"/>
        </w:rPr>
        <w:t xml:space="preserve"> </w:t>
      </w:r>
      <w:r w:rsidRPr="00356AA1">
        <w:rPr>
          <w:sz w:val="20"/>
        </w:rPr>
        <w:t>of</w:t>
      </w:r>
      <w:r w:rsidRPr="00356AA1">
        <w:rPr>
          <w:spacing w:val="-12"/>
          <w:sz w:val="20"/>
        </w:rPr>
        <w:t xml:space="preserve"> </w:t>
      </w:r>
      <w:r w:rsidR="00963168" w:rsidRPr="00356AA1">
        <w:rPr>
          <w:sz w:val="20"/>
        </w:rPr>
        <w:t>d</w:t>
      </w:r>
      <w:r w:rsidRPr="00356AA1">
        <w:rPr>
          <w:sz w:val="20"/>
        </w:rPr>
        <w:t>eaths</w:t>
      </w:r>
      <w:r w:rsidRPr="00356AA1">
        <w:rPr>
          <w:spacing w:val="14"/>
          <w:sz w:val="20"/>
        </w:rPr>
        <w:t xml:space="preserve"> </w:t>
      </w:r>
      <w:r w:rsidRPr="00356AA1">
        <w:rPr>
          <w:sz w:val="20"/>
        </w:rPr>
        <w:t>by</w:t>
      </w:r>
      <w:r w:rsidRPr="00356AA1">
        <w:rPr>
          <w:spacing w:val="7"/>
          <w:sz w:val="20"/>
        </w:rPr>
        <w:t xml:space="preserve"> </w:t>
      </w:r>
      <w:r w:rsidR="00963168" w:rsidRPr="00356AA1">
        <w:rPr>
          <w:spacing w:val="7"/>
          <w:sz w:val="20"/>
        </w:rPr>
        <w:t>o</w:t>
      </w:r>
      <w:r w:rsidRPr="00356AA1">
        <w:rPr>
          <w:sz w:val="20"/>
        </w:rPr>
        <w:t>rganization</w:t>
      </w:r>
      <w:r w:rsidRPr="00356AA1">
        <w:rPr>
          <w:spacing w:val="1"/>
          <w:sz w:val="20"/>
        </w:rPr>
        <w:t xml:space="preserve"> </w:t>
      </w:r>
      <w:r w:rsidR="00963168" w:rsidRPr="00356AA1">
        <w:rPr>
          <w:sz w:val="20"/>
        </w:rPr>
        <w:t>r</w:t>
      </w:r>
      <w:r w:rsidRPr="00356AA1">
        <w:rPr>
          <w:sz w:val="20"/>
        </w:rPr>
        <w:t>esponsible</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699"/>
        <w:gridCol w:w="1843"/>
        <w:gridCol w:w="1843"/>
      </w:tblGrid>
      <w:tr w:rsidR="0059306A" w:rsidRPr="00FF4737">
        <w:tc>
          <w:tcPr>
            <w:tcW w:w="1985" w:type="dxa"/>
            <w:tcBorders>
              <w:top w:val="single" w:sz="4" w:space="0" w:color="auto"/>
              <w:bottom w:val="single" w:sz="12" w:space="0" w:color="auto"/>
            </w:tcBorders>
            <w:shd w:val="clear" w:color="auto" w:fill="auto"/>
            <w:vAlign w:val="bottom"/>
          </w:tcPr>
          <w:p w:rsidR="00B93601" w:rsidRPr="00FF4737" w:rsidRDefault="00B93601" w:rsidP="00356AA1">
            <w:pPr>
              <w:spacing w:before="80" w:after="80"/>
              <w:ind w:left="113" w:right="113"/>
              <w:jc w:val="center"/>
              <w:rPr>
                <w:i/>
                <w:sz w:val="16"/>
                <w:szCs w:val="16"/>
              </w:rPr>
            </w:pPr>
            <w:r w:rsidRPr="00FF4737">
              <w:rPr>
                <w:i/>
                <w:sz w:val="16"/>
                <w:szCs w:val="16"/>
              </w:rPr>
              <w:t>Organizational affiliation</w:t>
            </w:r>
          </w:p>
          <w:p w:rsidR="0059306A" w:rsidRPr="00FF4737" w:rsidRDefault="00B93601" w:rsidP="00356AA1">
            <w:pPr>
              <w:spacing w:before="80" w:after="80"/>
              <w:ind w:left="113" w:right="113"/>
              <w:jc w:val="center"/>
              <w:rPr>
                <w:i/>
                <w:sz w:val="16"/>
                <w:szCs w:val="16"/>
              </w:rPr>
            </w:pPr>
            <w:r w:rsidRPr="00FF4737">
              <w:rPr>
                <w:i/>
                <w:sz w:val="16"/>
                <w:szCs w:val="16"/>
              </w:rPr>
              <w:t>of victims</w:t>
            </w:r>
          </w:p>
        </w:tc>
        <w:tc>
          <w:tcPr>
            <w:tcW w:w="1699" w:type="dxa"/>
            <w:tcBorders>
              <w:top w:val="single" w:sz="4" w:space="0" w:color="auto"/>
              <w:bottom w:val="single" w:sz="12" w:space="0" w:color="auto"/>
            </w:tcBorders>
            <w:shd w:val="clear" w:color="auto" w:fill="auto"/>
            <w:vAlign w:val="bottom"/>
          </w:tcPr>
          <w:p w:rsidR="0059306A" w:rsidRPr="00FF4737" w:rsidRDefault="00A617AC" w:rsidP="00356AA1">
            <w:pPr>
              <w:spacing w:before="80" w:after="80"/>
              <w:ind w:left="113" w:right="113"/>
              <w:jc w:val="right"/>
              <w:rPr>
                <w:i/>
                <w:sz w:val="16"/>
              </w:rPr>
            </w:pPr>
            <w:r w:rsidRPr="00FF4737">
              <w:rPr>
                <w:i/>
                <w:sz w:val="16"/>
              </w:rPr>
              <w:t xml:space="preserve">Lost </w:t>
            </w:r>
            <w:r w:rsidR="00185107">
              <w:rPr>
                <w:i/>
                <w:sz w:val="16"/>
              </w:rPr>
              <w:t>l</w:t>
            </w:r>
            <w:r w:rsidRPr="00FF4737">
              <w:rPr>
                <w:i/>
                <w:sz w:val="16"/>
              </w:rPr>
              <w:t>ives</w:t>
            </w:r>
          </w:p>
          <w:p w:rsidR="00A617AC" w:rsidRPr="00FF4737" w:rsidRDefault="00B93601" w:rsidP="00356AA1">
            <w:pPr>
              <w:spacing w:before="80" w:after="80"/>
              <w:ind w:left="113" w:right="113"/>
              <w:jc w:val="right"/>
              <w:rPr>
                <w:i/>
                <w:sz w:val="16"/>
              </w:rPr>
            </w:pPr>
            <w:r w:rsidRPr="00FF4737">
              <w:rPr>
                <w:i/>
                <w:sz w:val="16"/>
              </w:rPr>
              <w:t>(1955-1999)</w:t>
            </w:r>
          </w:p>
        </w:tc>
        <w:tc>
          <w:tcPr>
            <w:tcW w:w="1843" w:type="dxa"/>
            <w:tcBorders>
              <w:top w:val="single" w:sz="4" w:space="0" w:color="auto"/>
              <w:bottom w:val="single" w:sz="12" w:space="0" w:color="auto"/>
            </w:tcBorders>
            <w:shd w:val="clear" w:color="auto" w:fill="auto"/>
            <w:vAlign w:val="bottom"/>
          </w:tcPr>
          <w:p w:rsidR="0059306A" w:rsidRPr="00FF4737" w:rsidRDefault="00B93601" w:rsidP="00356AA1">
            <w:pPr>
              <w:tabs>
                <w:tab w:val="left" w:pos="712"/>
              </w:tabs>
              <w:spacing w:before="80" w:after="80"/>
              <w:ind w:left="113" w:right="113"/>
              <w:jc w:val="right"/>
              <w:rPr>
                <w:i/>
                <w:sz w:val="16"/>
              </w:rPr>
            </w:pPr>
            <w:r w:rsidRPr="00FF4737">
              <w:rPr>
                <w:i/>
                <w:sz w:val="16"/>
              </w:rPr>
              <w:t xml:space="preserve">Cost of the </w:t>
            </w:r>
            <w:r w:rsidR="00185107">
              <w:rPr>
                <w:i/>
                <w:sz w:val="16"/>
              </w:rPr>
              <w:t>T</w:t>
            </w:r>
            <w:r w:rsidRPr="00FF4737">
              <w:rPr>
                <w:i/>
                <w:sz w:val="16"/>
              </w:rPr>
              <w:t>roubles</w:t>
            </w:r>
          </w:p>
          <w:p w:rsidR="00B93601" w:rsidRPr="00FF4737" w:rsidRDefault="00B93601" w:rsidP="00356AA1">
            <w:pPr>
              <w:tabs>
                <w:tab w:val="left" w:pos="712"/>
              </w:tabs>
              <w:spacing w:before="80" w:after="80"/>
              <w:ind w:left="113" w:right="113"/>
              <w:jc w:val="right"/>
              <w:rPr>
                <w:i/>
                <w:sz w:val="16"/>
              </w:rPr>
            </w:pPr>
            <w:r w:rsidRPr="00FF4737">
              <w:rPr>
                <w:i/>
                <w:sz w:val="16"/>
              </w:rPr>
              <w:t>(1969-1998)</w:t>
            </w:r>
          </w:p>
        </w:tc>
        <w:tc>
          <w:tcPr>
            <w:tcW w:w="1843" w:type="dxa"/>
            <w:tcBorders>
              <w:top w:val="single" w:sz="4" w:space="0" w:color="auto"/>
              <w:bottom w:val="single" w:sz="12" w:space="0" w:color="auto"/>
            </w:tcBorders>
            <w:shd w:val="clear" w:color="auto" w:fill="auto"/>
            <w:vAlign w:val="bottom"/>
          </w:tcPr>
          <w:p w:rsidR="00B93601" w:rsidRPr="00FF4737" w:rsidRDefault="00B93601" w:rsidP="00356AA1">
            <w:pPr>
              <w:spacing w:before="80" w:after="80"/>
              <w:ind w:left="113" w:right="113"/>
              <w:jc w:val="right"/>
              <w:rPr>
                <w:i/>
                <w:sz w:val="16"/>
              </w:rPr>
            </w:pPr>
            <w:r w:rsidRPr="00FF4737">
              <w:rPr>
                <w:i/>
                <w:sz w:val="16"/>
              </w:rPr>
              <w:t>CAIN database</w:t>
            </w:r>
          </w:p>
          <w:p w:rsidR="00B93601" w:rsidRPr="00FF4737" w:rsidRDefault="00B93601" w:rsidP="00356AA1">
            <w:pPr>
              <w:spacing w:before="80" w:after="80"/>
              <w:ind w:left="113" w:right="113"/>
              <w:jc w:val="right"/>
              <w:rPr>
                <w:b/>
                <w:i/>
                <w:sz w:val="16"/>
              </w:rPr>
            </w:pPr>
            <w:r w:rsidRPr="00FF4737">
              <w:rPr>
                <w:i/>
                <w:sz w:val="16"/>
              </w:rPr>
              <w:t>(1969 – 2001</w:t>
            </w:r>
            <w:r w:rsidRPr="00FF4737">
              <w:rPr>
                <w:b/>
                <w:i/>
                <w:sz w:val="16"/>
              </w:rPr>
              <w:t>)</w:t>
            </w:r>
          </w:p>
        </w:tc>
      </w:tr>
      <w:tr w:rsidR="0059306A" w:rsidRPr="00FF4737">
        <w:tc>
          <w:tcPr>
            <w:tcW w:w="1985" w:type="dxa"/>
            <w:tcBorders>
              <w:top w:val="single" w:sz="12" w:space="0" w:color="auto"/>
            </w:tcBorders>
            <w:shd w:val="clear" w:color="auto" w:fill="auto"/>
            <w:vAlign w:val="bottom"/>
          </w:tcPr>
          <w:p w:rsidR="0059306A" w:rsidRPr="00FF4737" w:rsidRDefault="0056090D" w:rsidP="00356AA1">
            <w:pPr>
              <w:spacing w:before="40" w:after="40"/>
              <w:ind w:left="113" w:right="113"/>
              <w:jc w:val="both"/>
              <w:rPr>
                <w:sz w:val="16"/>
                <w:szCs w:val="16"/>
              </w:rPr>
            </w:pPr>
            <w:r w:rsidRPr="00FF4737">
              <w:rPr>
                <w:sz w:val="16"/>
                <w:szCs w:val="16"/>
              </w:rPr>
              <w:t>Security forces</w:t>
            </w:r>
          </w:p>
        </w:tc>
        <w:tc>
          <w:tcPr>
            <w:tcW w:w="1699" w:type="dxa"/>
            <w:tcBorders>
              <w:top w:val="single" w:sz="12" w:space="0" w:color="auto"/>
            </w:tcBorders>
            <w:shd w:val="clear" w:color="auto" w:fill="auto"/>
            <w:vAlign w:val="bottom"/>
          </w:tcPr>
          <w:p w:rsidR="0059306A" w:rsidRPr="00FF4737" w:rsidRDefault="00AF0E0D" w:rsidP="00356AA1">
            <w:pPr>
              <w:spacing w:before="40" w:after="40"/>
              <w:ind w:left="113" w:right="113"/>
              <w:jc w:val="right"/>
              <w:rPr>
                <w:sz w:val="16"/>
                <w:szCs w:val="16"/>
              </w:rPr>
            </w:pPr>
            <w:r w:rsidRPr="00FF4737">
              <w:rPr>
                <w:sz w:val="16"/>
                <w:szCs w:val="16"/>
              </w:rPr>
              <w:t>367</w:t>
            </w:r>
          </w:p>
        </w:tc>
        <w:tc>
          <w:tcPr>
            <w:tcW w:w="1843" w:type="dxa"/>
            <w:tcBorders>
              <w:top w:val="single" w:sz="12" w:space="0" w:color="auto"/>
            </w:tcBorders>
            <w:shd w:val="clear" w:color="auto" w:fill="auto"/>
            <w:vAlign w:val="bottom"/>
          </w:tcPr>
          <w:p w:rsidR="0059306A" w:rsidRPr="00FF4737" w:rsidRDefault="00C92124" w:rsidP="00356AA1">
            <w:pPr>
              <w:spacing w:before="40" w:after="40"/>
              <w:ind w:left="113" w:right="113"/>
              <w:jc w:val="right"/>
              <w:rPr>
                <w:sz w:val="16"/>
                <w:szCs w:val="16"/>
              </w:rPr>
            </w:pPr>
            <w:r w:rsidRPr="00FF4737">
              <w:rPr>
                <w:sz w:val="16"/>
                <w:szCs w:val="16"/>
              </w:rPr>
              <w:t>422</w:t>
            </w:r>
          </w:p>
        </w:tc>
        <w:tc>
          <w:tcPr>
            <w:tcW w:w="1843" w:type="dxa"/>
            <w:tcBorders>
              <w:top w:val="single" w:sz="12" w:space="0" w:color="auto"/>
            </w:tcBorders>
            <w:shd w:val="clear" w:color="auto" w:fill="auto"/>
            <w:vAlign w:val="bottom"/>
          </w:tcPr>
          <w:p w:rsidR="0059306A" w:rsidRPr="00FF4737" w:rsidRDefault="00CB1673" w:rsidP="00356AA1">
            <w:pPr>
              <w:spacing w:before="40" w:after="40"/>
              <w:ind w:left="113" w:right="113"/>
              <w:jc w:val="right"/>
              <w:rPr>
                <w:sz w:val="16"/>
                <w:szCs w:val="16"/>
              </w:rPr>
            </w:pPr>
            <w:r w:rsidRPr="00FF4737">
              <w:rPr>
                <w:sz w:val="16"/>
                <w:szCs w:val="16"/>
              </w:rPr>
              <w:t>368</w:t>
            </w:r>
          </w:p>
        </w:tc>
      </w:tr>
      <w:tr w:rsidR="0059306A" w:rsidRPr="00FF4737">
        <w:tc>
          <w:tcPr>
            <w:tcW w:w="1985" w:type="dxa"/>
            <w:shd w:val="clear" w:color="auto" w:fill="auto"/>
            <w:vAlign w:val="bottom"/>
          </w:tcPr>
          <w:p w:rsidR="0059306A" w:rsidRPr="00FF4737" w:rsidRDefault="0056090D" w:rsidP="00356AA1">
            <w:pPr>
              <w:spacing w:before="40" w:after="40"/>
              <w:ind w:left="113" w:right="113"/>
              <w:jc w:val="both"/>
              <w:rPr>
                <w:sz w:val="16"/>
                <w:szCs w:val="16"/>
              </w:rPr>
            </w:pPr>
            <w:r w:rsidRPr="00FF4737">
              <w:rPr>
                <w:sz w:val="16"/>
                <w:szCs w:val="16"/>
              </w:rPr>
              <w:t>Loyalist paramilitaries</w:t>
            </w:r>
          </w:p>
        </w:tc>
        <w:tc>
          <w:tcPr>
            <w:tcW w:w="1699" w:type="dxa"/>
            <w:shd w:val="clear" w:color="auto" w:fill="auto"/>
            <w:vAlign w:val="bottom"/>
          </w:tcPr>
          <w:p w:rsidR="0059306A" w:rsidRPr="00FF4737" w:rsidRDefault="00AF0E0D" w:rsidP="00356AA1">
            <w:pPr>
              <w:spacing w:before="40" w:after="40"/>
              <w:ind w:left="113" w:right="113"/>
              <w:jc w:val="right"/>
              <w:rPr>
                <w:sz w:val="16"/>
                <w:szCs w:val="16"/>
              </w:rPr>
            </w:pPr>
            <w:r w:rsidRPr="00FF4737">
              <w:rPr>
                <w:sz w:val="16"/>
                <w:szCs w:val="16"/>
              </w:rPr>
              <w:t>1</w:t>
            </w:r>
            <w:r w:rsidR="00BB74F6">
              <w:rPr>
                <w:sz w:val="16"/>
                <w:szCs w:val="16"/>
              </w:rPr>
              <w:t xml:space="preserve"> </w:t>
            </w:r>
            <w:r w:rsidRPr="00FF4737">
              <w:rPr>
                <w:sz w:val="16"/>
                <w:szCs w:val="16"/>
              </w:rPr>
              <w:t>050</w:t>
            </w:r>
          </w:p>
        </w:tc>
        <w:tc>
          <w:tcPr>
            <w:tcW w:w="1843" w:type="dxa"/>
            <w:shd w:val="clear" w:color="auto" w:fill="auto"/>
            <w:vAlign w:val="bottom"/>
          </w:tcPr>
          <w:p w:rsidR="0059306A" w:rsidRPr="00FF4737" w:rsidRDefault="00C92124" w:rsidP="00356AA1">
            <w:pPr>
              <w:spacing w:before="40" w:after="40"/>
              <w:ind w:left="113" w:right="113"/>
              <w:jc w:val="right"/>
              <w:rPr>
                <w:sz w:val="16"/>
                <w:szCs w:val="16"/>
              </w:rPr>
            </w:pPr>
            <w:r w:rsidRPr="00FF4737">
              <w:rPr>
                <w:sz w:val="16"/>
                <w:szCs w:val="16"/>
              </w:rPr>
              <w:t>983</w:t>
            </w:r>
          </w:p>
        </w:tc>
        <w:tc>
          <w:tcPr>
            <w:tcW w:w="1843" w:type="dxa"/>
            <w:shd w:val="clear" w:color="auto" w:fill="auto"/>
            <w:vAlign w:val="bottom"/>
          </w:tcPr>
          <w:p w:rsidR="0059306A" w:rsidRPr="00FF4737" w:rsidRDefault="00CB1673" w:rsidP="00356AA1">
            <w:pPr>
              <w:spacing w:before="40" w:after="40"/>
              <w:ind w:left="113" w:right="113"/>
              <w:jc w:val="right"/>
              <w:rPr>
                <w:sz w:val="16"/>
                <w:szCs w:val="16"/>
              </w:rPr>
            </w:pPr>
            <w:r w:rsidRPr="00FF4737">
              <w:rPr>
                <w:sz w:val="16"/>
                <w:szCs w:val="16"/>
              </w:rPr>
              <w:t>1</w:t>
            </w:r>
            <w:r w:rsidR="00BB74F6">
              <w:rPr>
                <w:sz w:val="16"/>
                <w:szCs w:val="16"/>
              </w:rPr>
              <w:t xml:space="preserve"> </w:t>
            </w:r>
            <w:r w:rsidRPr="00FF4737">
              <w:rPr>
                <w:sz w:val="16"/>
                <w:szCs w:val="16"/>
              </w:rPr>
              <w:t>020</w:t>
            </w:r>
          </w:p>
        </w:tc>
      </w:tr>
      <w:tr w:rsidR="0059306A" w:rsidRPr="00FF4737">
        <w:tc>
          <w:tcPr>
            <w:tcW w:w="1985" w:type="dxa"/>
            <w:shd w:val="clear" w:color="auto" w:fill="auto"/>
            <w:vAlign w:val="bottom"/>
          </w:tcPr>
          <w:p w:rsidR="0059306A" w:rsidRPr="00FF4737" w:rsidRDefault="0056090D" w:rsidP="00356AA1">
            <w:pPr>
              <w:spacing w:before="40" w:after="40"/>
              <w:ind w:left="113" w:right="113"/>
              <w:jc w:val="both"/>
              <w:rPr>
                <w:sz w:val="16"/>
                <w:szCs w:val="16"/>
              </w:rPr>
            </w:pPr>
            <w:r w:rsidRPr="00FF4737">
              <w:rPr>
                <w:sz w:val="16"/>
                <w:szCs w:val="16"/>
              </w:rPr>
              <w:t>Republican paramilitaries</w:t>
            </w:r>
          </w:p>
        </w:tc>
        <w:tc>
          <w:tcPr>
            <w:tcW w:w="1699" w:type="dxa"/>
            <w:shd w:val="clear" w:color="auto" w:fill="auto"/>
            <w:vAlign w:val="bottom"/>
          </w:tcPr>
          <w:p w:rsidR="0059306A" w:rsidRPr="00FF4737" w:rsidRDefault="00AF0E0D" w:rsidP="00356AA1">
            <w:pPr>
              <w:spacing w:before="40" w:after="40"/>
              <w:ind w:left="113" w:right="113"/>
              <w:jc w:val="right"/>
              <w:rPr>
                <w:sz w:val="16"/>
                <w:szCs w:val="16"/>
              </w:rPr>
            </w:pPr>
            <w:r w:rsidRPr="00FF4737">
              <w:rPr>
                <w:sz w:val="16"/>
                <w:szCs w:val="16"/>
              </w:rPr>
              <w:t>2</w:t>
            </w:r>
            <w:r w:rsidR="00BB74F6">
              <w:rPr>
                <w:sz w:val="16"/>
                <w:szCs w:val="16"/>
              </w:rPr>
              <w:t xml:space="preserve"> </w:t>
            </w:r>
            <w:r w:rsidRPr="00FF4737">
              <w:rPr>
                <w:sz w:val="16"/>
                <w:szCs w:val="16"/>
              </w:rPr>
              <w:t>139</w:t>
            </w:r>
          </w:p>
        </w:tc>
        <w:tc>
          <w:tcPr>
            <w:tcW w:w="1843" w:type="dxa"/>
            <w:shd w:val="clear" w:color="auto" w:fill="auto"/>
            <w:vAlign w:val="bottom"/>
          </w:tcPr>
          <w:p w:rsidR="0059306A" w:rsidRPr="00FF4737" w:rsidRDefault="00C92124" w:rsidP="00356AA1">
            <w:pPr>
              <w:spacing w:before="40" w:after="40"/>
              <w:ind w:left="113" w:right="113"/>
              <w:jc w:val="right"/>
              <w:rPr>
                <w:sz w:val="16"/>
                <w:szCs w:val="16"/>
              </w:rPr>
            </w:pPr>
            <w:r w:rsidRPr="00FF4737">
              <w:rPr>
                <w:sz w:val="16"/>
                <w:szCs w:val="16"/>
              </w:rPr>
              <w:t>2</w:t>
            </w:r>
            <w:r w:rsidR="00BB74F6">
              <w:rPr>
                <w:sz w:val="16"/>
                <w:szCs w:val="16"/>
              </w:rPr>
              <w:t xml:space="preserve"> </w:t>
            </w:r>
            <w:r w:rsidRPr="00FF4737">
              <w:rPr>
                <w:sz w:val="16"/>
                <w:szCs w:val="16"/>
              </w:rPr>
              <w:t>001</w:t>
            </w:r>
          </w:p>
        </w:tc>
        <w:tc>
          <w:tcPr>
            <w:tcW w:w="1843" w:type="dxa"/>
            <w:shd w:val="clear" w:color="auto" w:fill="auto"/>
            <w:vAlign w:val="bottom"/>
          </w:tcPr>
          <w:p w:rsidR="0059306A" w:rsidRPr="00FF4737" w:rsidRDefault="00CB1673" w:rsidP="00356AA1">
            <w:pPr>
              <w:spacing w:before="40" w:after="40"/>
              <w:ind w:left="113" w:right="113"/>
              <w:jc w:val="right"/>
              <w:rPr>
                <w:sz w:val="16"/>
                <w:szCs w:val="16"/>
              </w:rPr>
            </w:pPr>
            <w:r w:rsidRPr="00FF4737">
              <w:rPr>
                <w:sz w:val="16"/>
                <w:szCs w:val="16"/>
              </w:rPr>
              <w:t>2</w:t>
            </w:r>
            <w:r w:rsidR="00BB74F6">
              <w:rPr>
                <w:sz w:val="16"/>
                <w:szCs w:val="16"/>
              </w:rPr>
              <w:t xml:space="preserve"> </w:t>
            </w:r>
            <w:r w:rsidRPr="00FF4737">
              <w:rPr>
                <w:sz w:val="16"/>
                <w:szCs w:val="16"/>
              </w:rPr>
              <w:t>054</w:t>
            </w:r>
          </w:p>
        </w:tc>
      </w:tr>
      <w:tr w:rsidR="0059306A" w:rsidRPr="00FF4737">
        <w:tc>
          <w:tcPr>
            <w:tcW w:w="1985" w:type="dxa"/>
            <w:shd w:val="clear" w:color="auto" w:fill="auto"/>
            <w:vAlign w:val="bottom"/>
          </w:tcPr>
          <w:p w:rsidR="0059306A" w:rsidRPr="00FF4737" w:rsidRDefault="0056090D" w:rsidP="00356AA1">
            <w:pPr>
              <w:spacing w:before="40" w:after="40"/>
              <w:ind w:left="113" w:right="113"/>
              <w:jc w:val="both"/>
              <w:rPr>
                <w:sz w:val="16"/>
                <w:szCs w:val="16"/>
              </w:rPr>
            </w:pPr>
            <w:r w:rsidRPr="00FF4737">
              <w:rPr>
                <w:sz w:val="16"/>
                <w:szCs w:val="16"/>
              </w:rPr>
              <w:t>Civilian not known</w:t>
            </w:r>
          </w:p>
        </w:tc>
        <w:tc>
          <w:tcPr>
            <w:tcW w:w="1699" w:type="dxa"/>
            <w:shd w:val="clear" w:color="auto" w:fill="auto"/>
            <w:vAlign w:val="bottom"/>
          </w:tcPr>
          <w:p w:rsidR="0059306A" w:rsidRPr="00FF4737" w:rsidRDefault="00AF0E0D" w:rsidP="00356AA1">
            <w:pPr>
              <w:spacing w:before="40" w:after="40"/>
              <w:ind w:left="113" w:right="113"/>
              <w:jc w:val="right"/>
              <w:rPr>
                <w:sz w:val="16"/>
                <w:szCs w:val="16"/>
              </w:rPr>
            </w:pPr>
            <w:r w:rsidRPr="00FF4737">
              <w:rPr>
                <w:sz w:val="16"/>
                <w:szCs w:val="16"/>
              </w:rPr>
              <w:t>80</w:t>
            </w:r>
          </w:p>
        </w:tc>
        <w:tc>
          <w:tcPr>
            <w:tcW w:w="1843" w:type="dxa"/>
            <w:shd w:val="clear" w:color="auto" w:fill="auto"/>
            <w:vAlign w:val="bottom"/>
          </w:tcPr>
          <w:p w:rsidR="0059306A" w:rsidRPr="00FF4737" w:rsidRDefault="00C92124" w:rsidP="00356AA1">
            <w:pPr>
              <w:spacing w:before="40" w:after="40"/>
              <w:ind w:left="113" w:right="113"/>
              <w:jc w:val="right"/>
              <w:rPr>
                <w:sz w:val="16"/>
                <w:szCs w:val="16"/>
              </w:rPr>
            </w:pPr>
            <w:r w:rsidRPr="00FF4737">
              <w:rPr>
                <w:sz w:val="16"/>
                <w:szCs w:val="16"/>
              </w:rPr>
              <w:t>11 (civilian)</w:t>
            </w:r>
          </w:p>
        </w:tc>
        <w:tc>
          <w:tcPr>
            <w:tcW w:w="1843" w:type="dxa"/>
            <w:shd w:val="clear" w:color="auto" w:fill="auto"/>
            <w:vAlign w:val="bottom"/>
          </w:tcPr>
          <w:p w:rsidR="0059306A" w:rsidRPr="00FF4737" w:rsidRDefault="00CB1673" w:rsidP="00356AA1">
            <w:pPr>
              <w:spacing w:before="40" w:after="40"/>
              <w:ind w:left="113" w:right="113"/>
              <w:jc w:val="right"/>
              <w:rPr>
                <w:sz w:val="16"/>
                <w:szCs w:val="16"/>
              </w:rPr>
            </w:pPr>
            <w:r w:rsidRPr="00FF4737">
              <w:rPr>
                <w:sz w:val="16"/>
                <w:szCs w:val="16"/>
              </w:rPr>
              <w:t>81</w:t>
            </w:r>
          </w:p>
        </w:tc>
      </w:tr>
      <w:tr w:rsidR="0059306A" w:rsidRPr="00FF4737">
        <w:tc>
          <w:tcPr>
            <w:tcW w:w="1985" w:type="dxa"/>
            <w:tcBorders>
              <w:bottom w:val="single" w:sz="12" w:space="0" w:color="auto"/>
            </w:tcBorders>
            <w:shd w:val="clear" w:color="auto" w:fill="auto"/>
            <w:vAlign w:val="bottom"/>
          </w:tcPr>
          <w:p w:rsidR="0059306A" w:rsidRPr="00FF4737" w:rsidRDefault="0056090D" w:rsidP="00356AA1">
            <w:pPr>
              <w:spacing w:before="40" w:after="40"/>
              <w:ind w:left="113" w:right="113"/>
              <w:jc w:val="both"/>
              <w:rPr>
                <w:sz w:val="16"/>
                <w:szCs w:val="16"/>
              </w:rPr>
            </w:pPr>
            <w:r w:rsidRPr="00FF4737">
              <w:rPr>
                <w:sz w:val="16"/>
                <w:szCs w:val="16"/>
              </w:rPr>
              <w:t>Other</w:t>
            </w:r>
          </w:p>
        </w:tc>
        <w:tc>
          <w:tcPr>
            <w:tcW w:w="1699" w:type="dxa"/>
            <w:tcBorders>
              <w:bottom w:val="single" w:sz="12" w:space="0" w:color="auto"/>
            </w:tcBorders>
            <w:shd w:val="clear" w:color="auto" w:fill="auto"/>
            <w:vAlign w:val="bottom"/>
          </w:tcPr>
          <w:p w:rsidR="0059306A" w:rsidRPr="00FF4737" w:rsidRDefault="0059306A" w:rsidP="00356AA1">
            <w:pPr>
              <w:spacing w:before="40" w:after="40"/>
              <w:ind w:left="113" w:right="113"/>
              <w:jc w:val="right"/>
              <w:rPr>
                <w:sz w:val="16"/>
                <w:szCs w:val="16"/>
              </w:rPr>
            </w:pPr>
          </w:p>
        </w:tc>
        <w:tc>
          <w:tcPr>
            <w:tcW w:w="1843" w:type="dxa"/>
            <w:tcBorders>
              <w:bottom w:val="single" w:sz="12" w:space="0" w:color="auto"/>
            </w:tcBorders>
            <w:shd w:val="clear" w:color="auto" w:fill="auto"/>
            <w:vAlign w:val="bottom"/>
          </w:tcPr>
          <w:p w:rsidR="0059306A" w:rsidRPr="00FF4737" w:rsidRDefault="00C92124" w:rsidP="00356AA1">
            <w:pPr>
              <w:spacing w:before="40" w:after="40"/>
              <w:ind w:left="113" w:right="113"/>
              <w:jc w:val="right"/>
              <w:rPr>
                <w:sz w:val="16"/>
                <w:szCs w:val="16"/>
              </w:rPr>
            </w:pPr>
            <w:r w:rsidRPr="00FF4737">
              <w:rPr>
                <w:sz w:val="16"/>
                <w:szCs w:val="16"/>
              </w:rPr>
              <w:t>216 (other)</w:t>
            </w:r>
          </w:p>
        </w:tc>
        <w:tc>
          <w:tcPr>
            <w:tcW w:w="1843" w:type="dxa"/>
            <w:tcBorders>
              <w:bottom w:val="single" w:sz="12" w:space="0" w:color="auto"/>
            </w:tcBorders>
            <w:shd w:val="clear" w:color="auto" w:fill="auto"/>
            <w:vAlign w:val="bottom"/>
          </w:tcPr>
          <w:p w:rsidR="0059306A" w:rsidRPr="00FF4737" w:rsidRDefault="0059306A" w:rsidP="00356AA1">
            <w:pPr>
              <w:spacing w:before="40" w:after="40"/>
              <w:ind w:left="113" w:right="113"/>
              <w:jc w:val="right"/>
              <w:rPr>
                <w:sz w:val="16"/>
                <w:szCs w:val="16"/>
              </w:rPr>
            </w:pPr>
          </w:p>
        </w:tc>
      </w:tr>
      <w:tr w:rsidR="0059306A" w:rsidRPr="00FF4737">
        <w:tc>
          <w:tcPr>
            <w:tcW w:w="1985" w:type="dxa"/>
            <w:tcBorders>
              <w:top w:val="single" w:sz="12" w:space="0" w:color="auto"/>
              <w:bottom w:val="single" w:sz="12" w:space="0" w:color="auto"/>
            </w:tcBorders>
            <w:shd w:val="clear" w:color="auto" w:fill="auto"/>
            <w:vAlign w:val="bottom"/>
          </w:tcPr>
          <w:p w:rsidR="0059306A" w:rsidRPr="00FF4737" w:rsidRDefault="0056090D" w:rsidP="00356AA1">
            <w:pPr>
              <w:spacing w:before="80" w:after="80"/>
              <w:ind w:left="284"/>
              <w:rPr>
                <w:b/>
                <w:sz w:val="16"/>
                <w:szCs w:val="16"/>
              </w:rPr>
            </w:pPr>
            <w:r w:rsidRPr="00FF4737">
              <w:rPr>
                <w:b/>
                <w:sz w:val="16"/>
                <w:szCs w:val="16"/>
              </w:rPr>
              <w:t>Total</w:t>
            </w:r>
          </w:p>
        </w:tc>
        <w:tc>
          <w:tcPr>
            <w:tcW w:w="1699" w:type="dxa"/>
            <w:tcBorders>
              <w:top w:val="single" w:sz="12" w:space="0" w:color="auto"/>
              <w:bottom w:val="single" w:sz="12" w:space="0" w:color="auto"/>
            </w:tcBorders>
            <w:shd w:val="clear" w:color="auto" w:fill="auto"/>
            <w:vAlign w:val="bottom"/>
          </w:tcPr>
          <w:p w:rsidR="0059306A" w:rsidRPr="00FF4737" w:rsidRDefault="00AF0E0D" w:rsidP="00356AA1">
            <w:pPr>
              <w:spacing w:before="80" w:after="80"/>
              <w:ind w:left="113" w:right="113"/>
              <w:jc w:val="right"/>
              <w:rPr>
                <w:b/>
                <w:sz w:val="16"/>
                <w:szCs w:val="16"/>
              </w:rPr>
            </w:pPr>
            <w:r w:rsidRPr="00FF4737">
              <w:rPr>
                <w:b/>
                <w:sz w:val="16"/>
                <w:szCs w:val="16"/>
              </w:rPr>
              <w:t>3</w:t>
            </w:r>
            <w:r w:rsidR="00BB74F6">
              <w:rPr>
                <w:b/>
                <w:sz w:val="16"/>
                <w:szCs w:val="16"/>
              </w:rPr>
              <w:t xml:space="preserve"> </w:t>
            </w:r>
            <w:r w:rsidRPr="00FF4737">
              <w:rPr>
                <w:b/>
                <w:sz w:val="16"/>
                <w:szCs w:val="16"/>
              </w:rPr>
              <w:t>636</w:t>
            </w:r>
          </w:p>
        </w:tc>
        <w:tc>
          <w:tcPr>
            <w:tcW w:w="1843" w:type="dxa"/>
            <w:tcBorders>
              <w:top w:val="single" w:sz="12" w:space="0" w:color="auto"/>
              <w:bottom w:val="single" w:sz="12" w:space="0" w:color="auto"/>
            </w:tcBorders>
            <w:shd w:val="clear" w:color="auto" w:fill="auto"/>
            <w:vAlign w:val="bottom"/>
          </w:tcPr>
          <w:p w:rsidR="0059306A" w:rsidRPr="00FF4737" w:rsidRDefault="002C0773" w:rsidP="00356AA1">
            <w:pPr>
              <w:spacing w:before="80" w:after="80"/>
              <w:ind w:left="113" w:right="113"/>
              <w:jc w:val="right"/>
              <w:rPr>
                <w:b/>
                <w:sz w:val="16"/>
                <w:szCs w:val="16"/>
              </w:rPr>
            </w:pPr>
            <w:r w:rsidRPr="00FF4737">
              <w:rPr>
                <w:b/>
                <w:sz w:val="16"/>
                <w:szCs w:val="16"/>
              </w:rPr>
              <w:t>3</w:t>
            </w:r>
            <w:r w:rsidR="00BB74F6">
              <w:rPr>
                <w:b/>
                <w:sz w:val="16"/>
                <w:szCs w:val="16"/>
              </w:rPr>
              <w:t xml:space="preserve"> </w:t>
            </w:r>
            <w:r w:rsidRPr="00FF4737">
              <w:rPr>
                <w:b/>
                <w:sz w:val="16"/>
                <w:szCs w:val="16"/>
              </w:rPr>
              <w:t>593</w:t>
            </w:r>
          </w:p>
        </w:tc>
        <w:tc>
          <w:tcPr>
            <w:tcW w:w="1843" w:type="dxa"/>
            <w:tcBorders>
              <w:top w:val="single" w:sz="12" w:space="0" w:color="auto"/>
              <w:bottom w:val="single" w:sz="12" w:space="0" w:color="auto"/>
            </w:tcBorders>
            <w:shd w:val="clear" w:color="auto" w:fill="auto"/>
            <w:vAlign w:val="bottom"/>
          </w:tcPr>
          <w:p w:rsidR="0059306A" w:rsidRPr="00FF4737" w:rsidRDefault="00CB1673" w:rsidP="00356AA1">
            <w:pPr>
              <w:spacing w:before="80" w:after="80"/>
              <w:ind w:left="113" w:right="113"/>
              <w:jc w:val="right"/>
              <w:rPr>
                <w:b/>
                <w:sz w:val="16"/>
                <w:szCs w:val="16"/>
              </w:rPr>
            </w:pPr>
            <w:r w:rsidRPr="00FF4737">
              <w:rPr>
                <w:b/>
                <w:sz w:val="16"/>
                <w:szCs w:val="16"/>
              </w:rPr>
              <w:t>3</w:t>
            </w:r>
            <w:r w:rsidR="00BB74F6">
              <w:rPr>
                <w:b/>
                <w:sz w:val="16"/>
                <w:szCs w:val="16"/>
              </w:rPr>
              <w:t xml:space="preserve"> </w:t>
            </w:r>
            <w:r w:rsidRPr="00FF4737">
              <w:rPr>
                <w:b/>
                <w:sz w:val="16"/>
                <w:szCs w:val="16"/>
              </w:rPr>
              <w:t>523</w:t>
            </w:r>
          </w:p>
        </w:tc>
      </w:tr>
    </w:tbl>
    <w:p w:rsidR="00877302" w:rsidRPr="00356AA1" w:rsidRDefault="00877302" w:rsidP="00356AA1">
      <w:pPr>
        <w:pStyle w:val="H23G"/>
        <w:spacing w:line="240" w:lineRule="atLeast"/>
        <w:rPr>
          <w:sz w:val="20"/>
        </w:rPr>
      </w:pPr>
      <w:r w:rsidRPr="00356AA1">
        <w:rPr>
          <w:sz w:val="20"/>
        </w:rPr>
        <w:tab/>
      </w:r>
      <w:r w:rsidRPr="00356AA1">
        <w:rPr>
          <w:sz w:val="20"/>
        </w:rPr>
        <w:tab/>
        <w:t xml:space="preserve">Number of </w:t>
      </w:r>
      <w:r w:rsidR="00963168" w:rsidRPr="00356AA1">
        <w:rPr>
          <w:sz w:val="20"/>
        </w:rPr>
        <w:t>d</w:t>
      </w:r>
      <w:r w:rsidRPr="00356AA1">
        <w:rPr>
          <w:sz w:val="20"/>
        </w:rPr>
        <w:t xml:space="preserve">eaths by </w:t>
      </w:r>
      <w:r w:rsidR="00963168" w:rsidRPr="00356AA1">
        <w:rPr>
          <w:sz w:val="20"/>
        </w:rPr>
        <w:t>s</w:t>
      </w:r>
      <w:r w:rsidRPr="00356AA1">
        <w:rPr>
          <w:sz w:val="20"/>
        </w:rPr>
        <w:t xml:space="preserve">tatus of </w:t>
      </w:r>
      <w:r w:rsidR="00963168" w:rsidRPr="00356AA1">
        <w:rPr>
          <w:sz w:val="20"/>
        </w:rPr>
        <w:t>v</w:t>
      </w:r>
      <w:r w:rsidRPr="00356AA1">
        <w:rPr>
          <w:sz w:val="20"/>
        </w:rPr>
        <w:t>ictim</w:t>
      </w:r>
    </w:p>
    <w:tbl>
      <w:tblPr>
        <w:tblStyle w:val="TableGrid"/>
        <w:tblW w:w="7370"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699"/>
        <w:gridCol w:w="1843"/>
        <w:gridCol w:w="1843"/>
      </w:tblGrid>
      <w:tr w:rsidR="00877302" w:rsidRPr="00FF4737">
        <w:tc>
          <w:tcPr>
            <w:tcW w:w="1985" w:type="dxa"/>
            <w:tcBorders>
              <w:top w:val="single" w:sz="4" w:space="0" w:color="auto"/>
              <w:bottom w:val="single" w:sz="12" w:space="0" w:color="auto"/>
            </w:tcBorders>
            <w:shd w:val="clear" w:color="auto" w:fill="auto"/>
            <w:vAlign w:val="bottom"/>
          </w:tcPr>
          <w:p w:rsidR="00877302" w:rsidRPr="00FF4737" w:rsidRDefault="00877302" w:rsidP="00356AA1">
            <w:pPr>
              <w:spacing w:before="80" w:after="80"/>
              <w:ind w:left="113" w:right="113"/>
              <w:jc w:val="center"/>
              <w:rPr>
                <w:i/>
                <w:sz w:val="16"/>
                <w:szCs w:val="16"/>
              </w:rPr>
            </w:pPr>
            <w:r w:rsidRPr="00FF4737">
              <w:rPr>
                <w:i/>
                <w:sz w:val="16"/>
                <w:szCs w:val="16"/>
              </w:rPr>
              <w:t>Organizational affiliation</w:t>
            </w:r>
          </w:p>
          <w:p w:rsidR="00877302" w:rsidRPr="00FF4737" w:rsidRDefault="00877302" w:rsidP="00356AA1">
            <w:pPr>
              <w:spacing w:before="80" w:after="80"/>
              <w:ind w:left="113" w:right="113"/>
              <w:jc w:val="center"/>
              <w:rPr>
                <w:i/>
                <w:sz w:val="16"/>
                <w:szCs w:val="16"/>
              </w:rPr>
            </w:pPr>
            <w:r w:rsidRPr="00FF4737">
              <w:rPr>
                <w:i/>
                <w:sz w:val="16"/>
                <w:szCs w:val="16"/>
              </w:rPr>
              <w:t>of victims</w:t>
            </w:r>
          </w:p>
        </w:tc>
        <w:tc>
          <w:tcPr>
            <w:tcW w:w="1699" w:type="dxa"/>
            <w:tcBorders>
              <w:top w:val="single" w:sz="4" w:space="0" w:color="auto"/>
              <w:bottom w:val="single" w:sz="12" w:space="0" w:color="auto"/>
            </w:tcBorders>
            <w:shd w:val="clear" w:color="auto" w:fill="auto"/>
            <w:vAlign w:val="bottom"/>
          </w:tcPr>
          <w:p w:rsidR="00877302" w:rsidRPr="00FF4737" w:rsidRDefault="00877302" w:rsidP="00356AA1">
            <w:pPr>
              <w:spacing w:before="80" w:after="80"/>
              <w:ind w:left="113" w:right="113"/>
              <w:jc w:val="right"/>
              <w:rPr>
                <w:i/>
                <w:sz w:val="16"/>
              </w:rPr>
            </w:pPr>
            <w:r w:rsidRPr="00FF4737">
              <w:rPr>
                <w:i/>
                <w:sz w:val="16"/>
              </w:rPr>
              <w:t xml:space="preserve">Lost </w:t>
            </w:r>
            <w:r w:rsidR="00185107">
              <w:rPr>
                <w:i/>
                <w:sz w:val="16"/>
              </w:rPr>
              <w:t>l</w:t>
            </w:r>
            <w:r w:rsidRPr="00FF4737">
              <w:rPr>
                <w:i/>
                <w:sz w:val="16"/>
              </w:rPr>
              <w:t>ives</w:t>
            </w:r>
          </w:p>
          <w:p w:rsidR="00877302" w:rsidRPr="00FF4737" w:rsidRDefault="00877302" w:rsidP="00356AA1">
            <w:pPr>
              <w:spacing w:before="80" w:after="80"/>
              <w:ind w:left="113" w:right="113"/>
              <w:jc w:val="right"/>
              <w:rPr>
                <w:i/>
                <w:sz w:val="16"/>
              </w:rPr>
            </w:pPr>
            <w:r w:rsidRPr="00FF4737">
              <w:rPr>
                <w:i/>
                <w:sz w:val="16"/>
              </w:rPr>
              <w:t>(1955-1999)</w:t>
            </w:r>
          </w:p>
        </w:tc>
        <w:tc>
          <w:tcPr>
            <w:tcW w:w="1843" w:type="dxa"/>
            <w:tcBorders>
              <w:top w:val="single" w:sz="4" w:space="0" w:color="auto"/>
              <w:bottom w:val="single" w:sz="12" w:space="0" w:color="auto"/>
            </w:tcBorders>
            <w:shd w:val="clear" w:color="auto" w:fill="auto"/>
            <w:vAlign w:val="bottom"/>
          </w:tcPr>
          <w:p w:rsidR="00877302" w:rsidRPr="00FF4737" w:rsidRDefault="00877302" w:rsidP="00356AA1">
            <w:pPr>
              <w:tabs>
                <w:tab w:val="left" w:pos="712"/>
              </w:tabs>
              <w:spacing w:before="80" w:after="80"/>
              <w:ind w:left="113" w:right="113"/>
              <w:jc w:val="right"/>
              <w:rPr>
                <w:i/>
                <w:sz w:val="16"/>
              </w:rPr>
            </w:pPr>
            <w:r w:rsidRPr="00FF4737">
              <w:rPr>
                <w:i/>
                <w:sz w:val="16"/>
              </w:rPr>
              <w:t xml:space="preserve">Cost of the </w:t>
            </w:r>
            <w:r w:rsidR="00185107">
              <w:rPr>
                <w:i/>
                <w:sz w:val="16"/>
              </w:rPr>
              <w:t>T</w:t>
            </w:r>
            <w:r w:rsidRPr="00FF4737">
              <w:rPr>
                <w:i/>
                <w:sz w:val="16"/>
              </w:rPr>
              <w:t>roubles</w:t>
            </w:r>
          </w:p>
          <w:p w:rsidR="00877302" w:rsidRPr="00FF4737" w:rsidRDefault="00877302" w:rsidP="00356AA1">
            <w:pPr>
              <w:tabs>
                <w:tab w:val="left" w:pos="712"/>
              </w:tabs>
              <w:spacing w:before="80" w:after="80"/>
              <w:ind w:left="113" w:right="113"/>
              <w:jc w:val="right"/>
              <w:rPr>
                <w:i/>
                <w:sz w:val="16"/>
              </w:rPr>
            </w:pPr>
            <w:r w:rsidRPr="00FF4737">
              <w:rPr>
                <w:i/>
                <w:sz w:val="16"/>
              </w:rPr>
              <w:t>(1969-1998)</w:t>
            </w:r>
          </w:p>
        </w:tc>
        <w:tc>
          <w:tcPr>
            <w:tcW w:w="1843" w:type="dxa"/>
            <w:tcBorders>
              <w:top w:val="single" w:sz="4" w:space="0" w:color="auto"/>
              <w:bottom w:val="single" w:sz="12" w:space="0" w:color="auto"/>
            </w:tcBorders>
            <w:shd w:val="clear" w:color="auto" w:fill="auto"/>
            <w:vAlign w:val="bottom"/>
          </w:tcPr>
          <w:p w:rsidR="00877302" w:rsidRPr="00FF4737" w:rsidRDefault="00877302" w:rsidP="00356AA1">
            <w:pPr>
              <w:spacing w:before="80" w:after="80"/>
              <w:ind w:left="113" w:right="113"/>
              <w:jc w:val="right"/>
              <w:rPr>
                <w:i/>
                <w:sz w:val="16"/>
              </w:rPr>
            </w:pPr>
            <w:r w:rsidRPr="00FF4737">
              <w:rPr>
                <w:i/>
                <w:sz w:val="16"/>
              </w:rPr>
              <w:t>CAIN database</w:t>
            </w:r>
          </w:p>
          <w:p w:rsidR="00877302" w:rsidRPr="00FF4737" w:rsidRDefault="00877302" w:rsidP="00356AA1">
            <w:pPr>
              <w:spacing w:before="80" w:after="80"/>
              <w:ind w:left="113" w:right="113"/>
              <w:jc w:val="right"/>
              <w:rPr>
                <w:b/>
                <w:i/>
                <w:sz w:val="16"/>
              </w:rPr>
            </w:pPr>
            <w:r w:rsidRPr="00FF4737">
              <w:rPr>
                <w:i/>
                <w:sz w:val="16"/>
              </w:rPr>
              <w:t>(1969 – 2001</w:t>
            </w:r>
            <w:r w:rsidRPr="00FF4737">
              <w:rPr>
                <w:b/>
                <w:i/>
                <w:sz w:val="16"/>
              </w:rPr>
              <w:t>)</w:t>
            </w:r>
          </w:p>
        </w:tc>
      </w:tr>
      <w:tr w:rsidR="00877302" w:rsidRPr="00FF4737">
        <w:tc>
          <w:tcPr>
            <w:tcW w:w="1985" w:type="dxa"/>
            <w:tcBorders>
              <w:top w:val="single" w:sz="12" w:space="0" w:color="auto"/>
            </w:tcBorders>
            <w:shd w:val="clear" w:color="auto" w:fill="auto"/>
            <w:vAlign w:val="bottom"/>
          </w:tcPr>
          <w:p w:rsidR="00877302" w:rsidRPr="00FF4737" w:rsidRDefault="00877302" w:rsidP="00356AA1">
            <w:pPr>
              <w:spacing w:before="40" w:after="40"/>
              <w:ind w:left="113" w:right="113"/>
              <w:jc w:val="both"/>
              <w:rPr>
                <w:sz w:val="16"/>
                <w:szCs w:val="16"/>
              </w:rPr>
            </w:pPr>
            <w:r w:rsidRPr="00FF4737">
              <w:rPr>
                <w:sz w:val="16"/>
                <w:szCs w:val="16"/>
              </w:rPr>
              <w:t>Security forces</w:t>
            </w:r>
          </w:p>
        </w:tc>
        <w:tc>
          <w:tcPr>
            <w:tcW w:w="1699" w:type="dxa"/>
            <w:tcBorders>
              <w:top w:val="single" w:sz="12" w:space="0" w:color="auto"/>
            </w:tcBorders>
            <w:shd w:val="clear" w:color="auto" w:fill="auto"/>
            <w:vAlign w:val="bottom"/>
          </w:tcPr>
          <w:p w:rsidR="00877302" w:rsidRPr="00FF4737" w:rsidRDefault="00877302" w:rsidP="00356AA1">
            <w:pPr>
              <w:spacing w:before="40" w:after="40"/>
              <w:ind w:left="113" w:right="113"/>
              <w:jc w:val="right"/>
              <w:rPr>
                <w:sz w:val="16"/>
                <w:szCs w:val="16"/>
              </w:rPr>
            </w:pPr>
            <w:r w:rsidRPr="00FF4737">
              <w:rPr>
                <w:sz w:val="16"/>
                <w:szCs w:val="16"/>
              </w:rPr>
              <w:t>1</w:t>
            </w:r>
            <w:r w:rsidR="00BB74F6">
              <w:rPr>
                <w:sz w:val="16"/>
                <w:szCs w:val="16"/>
              </w:rPr>
              <w:t xml:space="preserve"> </w:t>
            </w:r>
            <w:r w:rsidRPr="00FF4737">
              <w:rPr>
                <w:sz w:val="16"/>
                <w:szCs w:val="16"/>
              </w:rPr>
              <w:t>012</w:t>
            </w:r>
          </w:p>
        </w:tc>
        <w:tc>
          <w:tcPr>
            <w:tcW w:w="1843" w:type="dxa"/>
            <w:tcBorders>
              <w:top w:val="single" w:sz="12" w:space="0" w:color="auto"/>
            </w:tcBorders>
            <w:shd w:val="clear" w:color="auto" w:fill="auto"/>
            <w:vAlign w:val="bottom"/>
          </w:tcPr>
          <w:p w:rsidR="00877302" w:rsidRPr="00FF4737" w:rsidRDefault="00877302" w:rsidP="00356AA1">
            <w:pPr>
              <w:spacing w:before="40" w:after="40"/>
              <w:ind w:left="113" w:right="113"/>
              <w:jc w:val="right"/>
              <w:rPr>
                <w:sz w:val="16"/>
                <w:szCs w:val="16"/>
              </w:rPr>
            </w:pPr>
            <w:r w:rsidRPr="00FF4737">
              <w:rPr>
                <w:sz w:val="16"/>
                <w:szCs w:val="16"/>
              </w:rPr>
              <w:t>1</w:t>
            </w:r>
            <w:r w:rsidR="00BB74F6">
              <w:rPr>
                <w:sz w:val="16"/>
                <w:szCs w:val="16"/>
              </w:rPr>
              <w:t xml:space="preserve"> </w:t>
            </w:r>
            <w:r w:rsidRPr="00FF4737">
              <w:rPr>
                <w:sz w:val="16"/>
                <w:szCs w:val="16"/>
              </w:rPr>
              <w:t>129</w:t>
            </w:r>
          </w:p>
        </w:tc>
        <w:tc>
          <w:tcPr>
            <w:tcW w:w="1843" w:type="dxa"/>
            <w:tcBorders>
              <w:top w:val="single" w:sz="12" w:space="0" w:color="auto"/>
            </w:tcBorders>
            <w:shd w:val="clear" w:color="auto" w:fill="auto"/>
            <w:vAlign w:val="bottom"/>
          </w:tcPr>
          <w:p w:rsidR="00877302" w:rsidRPr="00FF4737" w:rsidRDefault="00877302" w:rsidP="00356AA1">
            <w:pPr>
              <w:spacing w:before="40" w:after="40"/>
              <w:ind w:left="113" w:right="113"/>
              <w:jc w:val="right"/>
              <w:rPr>
                <w:sz w:val="16"/>
                <w:szCs w:val="16"/>
              </w:rPr>
            </w:pPr>
            <w:r w:rsidRPr="00FF4737">
              <w:rPr>
                <w:sz w:val="16"/>
                <w:szCs w:val="16"/>
              </w:rPr>
              <w:t>1</w:t>
            </w:r>
            <w:r w:rsidR="00BB74F6">
              <w:rPr>
                <w:sz w:val="16"/>
                <w:szCs w:val="16"/>
              </w:rPr>
              <w:t xml:space="preserve"> </w:t>
            </w:r>
            <w:r w:rsidRPr="00FF4737">
              <w:rPr>
                <w:sz w:val="16"/>
                <w:szCs w:val="16"/>
              </w:rPr>
              <w:t>111</w:t>
            </w:r>
          </w:p>
        </w:tc>
      </w:tr>
      <w:tr w:rsidR="00877302" w:rsidRPr="00FF4737">
        <w:tc>
          <w:tcPr>
            <w:tcW w:w="1985" w:type="dxa"/>
            <w:shd w:val="clear" w:color="auto" w:fill="auto"/>
            <w:vAlign w:val="bottom"/>
          </w:tcPr>
          <w:p w:rsidR="00877302" w:rsidRPr="00FF4737" w:rsidRDefault="00877302" w:rsidP="00356AA1">
            <w:pPr>
              <w:spacing w:before="40" w:after="40"/>
              <w:ind w:left="113" w:right="113"/>
              <w:jc w:val="both"/>
              <w:rPr>
                <w:sz w:val="16"/>
                <w:szCs w:val="16"/>
              </w:rPr>
            </w:pPr>
            <w:r w:rsidRPr="00FF4737">
              <w:rPr>
                <w:sz w:val="16"/>
                <w:szCs w:val="16"/>
              </w:rPr>
              <w:lastRenderedPageBreak/>
              <w:t>Loyalist paramilitaries</w:t>
            </w:r>
          </w:p>
        </w:tc>
        <w:tc>
          <w:tcPr>
            <w:tcW w:w="1699" w:type="dxa"/>
            <w:shd w:val="clear" w:color="auto" w:fill="auto"/>
            <w:vAlign w:val="bottom"/>
          </w:tcPr>
          <w:p w:rsidR="00877302" w:rsidRPr="00FF4737" w:rsidRDefault="00877302" w:rsidP="00356AA1">
            <w:pPr>
              <w:spacing w:before="40" w:after="40"/>
              <w:ind w:left="113" w:right="113"/>
              <w:jc w:val="right"/>
              <w:rPr>
                <w:sz w:val="16"/>
                <w:szCs w:val="16"/>
              </w:rPr>
            </w:pPr>
            <w:r w:rsidRPr="00FF4737">
              <w:rPr>
                <w:sz w:val="16"/>
                <w:szCs w:val="16"/>
              </w:rPr>
              <w:t>144</w:t>
            </w:r>
          </w:p>
        </w:tc>
        <w:tc>
          <w:tcPr>
            <w:tcW w:w="1843" w:type="dxa"/>
            <w:shd w:val="clear" w:color="auto" w:fill="auto"/>
            <w:vAlign w:val="bottom"/>
          </w:tcPr>
          <w:p w:rsidR="00877302" w:rsidRPr="00FF4737" w:rsidRDefault="00877302" w:rsidP="00356AA1">
            <w:pPr>
              <w:spacing w:before="40" w:after="40"/>
              <w:ind w:left="113" w:right="113"/>
              <w:jc w:val="right"/>
              <w:rPr>
                <w:sz w:val="16"/>
                <w:szCs w:val="16"/>
              </w:rPr>
            </w:pPr>
            <w:r w:rsidRPr="00FF4737">
              <w:rPr>
                <w:sz w:val="16"/>
                <w:szCs w:val="16"/>
              </w:rPr>
              <w:t>119</w:t>
            </w:r>
          </w:p>
        </w:tc>
        <w:tc>
          <w:tcPr>
            <w:tcW w:w="1843" w:type="dxa"/>
            <w:shd w:val="clear" w:color="auto" w:fill="auto"/>
            <w:vAlign w:val="bottom"/>
          </w:tcPr>
          <w:p w:rsidR="00877302" w:rsidRPr="00FF4737" w:rsidRDefault="00877302" w:rsidP="00356AA1">
            <w:pPr>
              <w:spacing w:before="40" w:after="40"/>
              <w:ind w:left="113" w:right="113"/>
              <w:jc w:val="right"/>
              <w:rPr>
                <w:sz w:val="16"/>
                <w:szCs w:val="16"/>
              </w:rPr>
            </w:pPr>
            <w:r w:rsidRPr="00FF4737">
              <w:rPr>
                <w:sz w:val="16"/>
                <w:szCs w:val="16"/>
              </w:rPr>
              <w:t>151</w:t>
            </w:r>
          </w:p>
        </w:tc>
      </w:tr>
      <w:tr w:rsidR="00877302" w:rsidRPr="00FF4737">
        <w:tc>
          <w:tcPr>
            <w:tcW w:w="1985" w:type="dxa"/>
            <w:shd w:val="clear" w:color="auto" w:fill="auto"/>
            <w:vAlign w:val="bottom"/>
          </w:tcPr>
          <w:p w:rsidR="00877302" w:rsidRPr="00FF4737" w:rsidRDefault="00877302" w:rsidP="00356AA1">
            <w:pPr>
              <w:spacing w:before="40" w:after="40"/>
              <w:ind w:left="113" w:right="113"/>
              <w:jc w:val="both"/>
              <w:rPr>
                <w:sz w:val="16"/>
                <w:szCs w:val="16"/>
              </w:rPr>
            </w:pPr>
            <w:r w:rsidRPr="00FF4737">
              <w:rPr>
                <w:sz w:val="16"/>
                <w:szCs w:val="16"/>
              </w:rPr>
              <w:t>Republican paramilitaries</w:t>
            </w:r>
          </w:p>
        </w:tc>
        <w:tc>
          <w:tcPr>
            <w:tcW w:w="1699" w:type="dxa"/>
            <w:shd w:val="clear" w:color="auto" w:fill="auto"/>
            <w:vAlign w:val="bottom"/>
          </w:tcPr>
          <w:p w:rsidR="00877302" w:rsidRPr="00FF4737" w:rsidRDefault="00877302" w:rsidP="00356AA1">
            <w:pPr>
              <w:spacing w:before="40" w:after="40"/>
              <w:ind w:left="113" w:right="113"/>
              <w:jc w:val="right"/>
              <w:rPr>
                <w:sz w:val="16"/>
                <w:szCs w:val="16"/>
              </w:rPr>
            </w:pPr>
            <w:r w:rsidRPr="00FF4737">
              <w:rPr>
                <w:sz w:val="16"/>
                <w:szCs w:val="16"/>
              </w:rPr>
              <w:t>392</w:t>
            </w:r>
          </w:p>
        </w:tc>
        <w:tc>
          <w:tcPr>
            <w:tcW w:w="1843" w:type="dxa"/>
            <w:shd w:val="clear" w:color="auto" w:fill="auto"/>
            <w:vAlign w:val="bottom"/>
          </w:tcPr>
          <w:p w:rsidR="00877302" w:rsidRPr="00FF4737" w:rsidRDefault="00877302" w:rsidP="00356AA1">
            <w:pPr>
              <w:spacing w:before="40" w:after="40"/>
              <w:ind w:left="113" w:right="113"/>
              <w:jc w:val="right"/>
              <w:rPr>
                <w:sz w:val="16"/>
                <w:szCs w:val="16"/>
              </w:rPr>
            </w:pPr>
            <w:r w:rsidRPr="00FF4737">
              <w:rPr>
                <w:sz w:val="16"/>
                <w:szCs w:val="16"/>
              </w:rPr>
              <w:t>363</w:t>
            </w:r>
          </w:p>
        </w:tc>
        <w:tc>
          <w:tcPr>
            <w:tcW w:w="1843" w:type="dxa"/>
            <w:shd w:val="clear" w:color="auto" w:fill="auto"/>
            <w:vAlign w:val="bottom"/>
          </w:tcPr>
          <w:p w:rsidR="00877302" w:rsidRPr="00FF4737" w:rsidRDefault="00877302" w:rsidP="00356AA1">
            <w:pPr>
              <w:spacing w:before="40" w:after="40"/>
              <w:ind w:left="113" w:right="113"/>
              <w:jc w:val="right"/>
              <w:rPr>
                <w:sz w:val="16"/>
                <w:szCs w:val="16"/>
              </w:rPr>
            </w:pPr>
            <w:r w:rsidRPr="00FF4737">
              <w:rPr>
                <w:sz w:val="16"/>
                <w:szCs w:val="16"/>
              </w:rPr>
              <w:t>395</w:t>
            </w:r>
          </w:p>
        </w:tc>
      </w:tr>
      <w:tr w:rsidR="00877302" w:rsidRPr="00FF4737">
        <w:tc>
          <w:tcPr>
            <w:tcW w:w="1985" w:type="dxa"/>
            <w:shd w:val="clear" w:color="auto" w:fill="auto"/>
            <w:vAlign w:val="bottom"/>
          </w:tcPr>
          <w:p w:rsidR="00877302" w:rsidRPr="00FF4737" w:rsidRDefault="00877302" w:rsidP="00356AA1">
            <w:pPr>
              <w:spacing w:before="40" w:after="40"/>
              <w:ind w:left="113" w:right="113"/>
              <w:jc w:val="both"/>
              <w:rPr>
                <w:sz w:val="16"/>
                <w:szCs w:val="16"/>
              </w:rPr>
            </w:pPr>
            <w:r w:rsidRPr="00FF4737">
              <w:rPr>
                <w:sz w:val="16"/>
                <w:szCs w:val="16"/>
              </w:rPr>
              <w:t>Civilian not known</w:t>
            </w:r>
          </w:p>
        </w:tc>
        <w:tc>
          <w:tcPr>
            <w:tcW w:w="1699" w:type="dxa"/>
            <w:shd w:val="clear" w:color="auto" w:fill="auto"/>
            <w:vAlign w:val="bottom"/>
          </w:tcPr>
          <w:p w:rsidR="00877302" w:rsidRPr="00FF4737" w:rsidRDefault="00877302" w:rsidP="00356AA1">
            <w:pPr>
              <w:spacing w:before="40" w:after="40"/>
              <w:ind w:left="113" w:right="113"/>
              <w:jc w:val="right"/>
              <w:rPr>
                <w:sz w:val="16"/>
                <w:szCs w:val="16"/>
              </w:rPr>
            </w:pPr>
            <w:r w:rsidRPr="00FF4737">
              <w:rPr>
                <w:sz w:val="16"/>
                <w:szCs w:val="16"/>
              </w:rPr>
              <w:t>2</w:t>
            </w:r>
            <w:r w:rsidR="00BB74F6">
              <w:rPr>
                <w:sz w:val="16"/>
                <w:szCs w:val="16"/>
              </w:rPr>
              <w:t xml:space="preserve"> </w:t>
            </w:r>
            <w:r w:rsidRPr="00FF4737">
              <w:rPr>
                <w:sz w:val="16"/>
                <w:szCs w:val="16"/>
              </w:rPr>
              <w:t>088</w:t>
            </w:r>
          </w:p>
        </w:tc>
        <w:tc>
          <w:tcPr>
            <w:tcW w:w="1843" w:type="dxa"/>
            <w:shd w:val="clear" w:color="auto" w:fill="auto"/>
            <w:vAlign w:val="bottom"/>
          </w:tcPr>
          <w:p w:rsidR="00877302" w:rsidRPr="00FF4737" w:rsidRDefault="00877302" w:rsidP="00356AA1">
            <w:pPr>
              <w:spacing w:before="40" w:after="40"/>
              <w:ind w:left="113" w:right="113"/>
              <w:jc w:val="right"/>
              <w:rPr>
                <w:sz w:val="16"/>
                <w:szCs w:val="16"/>
              </w:rPr>
            </w:pPr>
            <w:r w:rsidRPr="00FF4737">
              <w:rPr>
                <w:sz w:val="16"/>
                <w:szCs w:val="16"/>
              </w:rPr>
              <w:t>2</w:t>
            </w:r>
            <w:r w:rsidR="00BB74F6">
              <w:rPr>
                <w:sz w:val="16"/>
                <w:szCs w:val="16"/>
              </w:rPr>
              <w:t xml:space="preserve"> </w:t>
            </w:r>
            <w:r w:rsidRPr="00FF4737">
              <w:rPr>
                <w:sz w:val="16"/>
                <w:szCs w:val="16"/>
              </w:rPr>
              <w:t>990</w:t>
            </w:r>
          </w:p>
        </w:tc>
        <w:tc>
          <w:tcPr>
            <w:tcW w:w="1843" w:type="dxa"/>
            <w:shd w:val="clear" w:color="auto" w:fill="auto"/>
            <w:vAlign w:val="bottom"/>
          </w:tcPr>
          <w:p w:rsidR="00877302" w:rsidRPr="00FF4737" w:rsidRDefault="00877302" w:rsidP="00356AA1">
            <w:pPr>
              <w:spacing w:before="40" w:after="40"/>
              <w:ind w:left="113" w:right="113"/>
              <w:jc w:val="right"/>
              <w:rPr>
                <w:sz w:val="16"/>
                <w:szCs w:val="16"/>
              </w:rPr>
            </w:pPr>
            <w:r w:rsidRPr="00FF4737">
              <w:rPr>
                <w:sz w:val="16"/>
                <w:szCs w:val="16"/>
              </w:rPr>
              <w:t>1</w:t>
            </w:r>
            <w:r w:rsidR="00BB74F6">
              <w:rPr>
                <w:sz w:val="16"/>
                <w:szCs w:val="16"/>
              </w:rPr>
              <w:t xml:space="preserve"> </w:t>
            </w:r>
            <w:r w:rsidRPr="00FF4737">
              <w:rPr>
                <w:sz w:val="16"/>
                <w:szCs w:val="16"/>
              </w:rPr>
              <w:t>866</w:t>
            </w:r>
          </w:p>
        </w:tc>
      </w:tr>
      <w:tr w:rsidR="00877302" w:rsidRPr="00FF4737">
        <w:tc>
          <w:tcPr>
            <w:tcW w:w="1985" w:type="dxa"/>
            <w:tcBorders>
              <w:bottom w:val="single" w:sz="4" w:space="0" w:color="auto"/>
            </w:tcBorders>
            <w:shd w:val="clear" w:color="auto" w:fill="auto"/>
            <w:vAlign w:val="bottom"/>
          </w:tcPr>
          <w:p w:rsidR="00877302" w:rsidRPr="00FF4737" w:rsidRDefault="00877302" w:rsidP="00356AA1">
            <w:pPr>
              <w:spacing w:before="40" w:after="40"/>
              <w:ind w:left="113" w:right="113"/>
              <w:jc w:val="both"/>
              <w:rPr>
                <w:sz w:val="16"/>
                <w:szCs w:val="16"/>
              </w:rPr>
            </w:pPr>
            <w:r w:rsidRPr="00FF4737">
              <w:rPr>
                <w:sz w:val="16"/>
                <w:szCs w:val="16"/>
              </w:rPr>
              <w:t>Other</w:t>
            </w:r>
          </w:p>
        </w:tc>
        <w:tc>
          <w:tcPr>
            <w:tcW w:w="1699" w:type="dxa"/>
            <w:tcBorders>
              <w:bottom w:val="single" w:sz="4" w:space="0" w:color="auto"/>
            </w:tcBorders>
            <w:shd w:val="clear" w:color="auto" w:fill="auto"/>
            <w:vAlign w:val="bottom"/>
          </w:tcPr>
          <w:p w:rsidR="00877302" w:rsidRPr="00FF4737" w:rsidRDefault="00877302" w:rsidP="00356AA1">
            <w:pPr>
              <w:spacing w:before="40" w:after="40"/>
              <w:ind w:left="113" w:right="113"/>
              <w:jc w:val="right"/>
              <w:rPr>
                <w:sz w:val="18"/>
              </w:rPr>
            </w:pPr>
          </w:p>
        </w:tc>
        <w:tc>
          <w:tcPr>
            <w:tcW w:w="1843" w:type="dxa"/>
            <w:tcBorders>
              <w:bottom w:val="single" w:sz="4" w:space="0" w:color="auto"/>
            </w:tcBorders>
            <w:shd w:val="clear" w:color="auto" w:fill="auto"/>
            <w:vAlign w:val="bottom"/>
          </w:tcPr>
          <w:p w:rsidR="00877302" w:rsidRPr="00FF4737" w:rsidRDefault="00877302" w:rsidP="00356AA1">
            <w:pPr>
              <w:spacing w:before="40" w:after="40"/>
              <w:ind w:left="113" w:right="113"/>
              <w:jc w:val="right"/>
              <w:rPr>
                <w:sz w:val="18"/>
              </w:rPr>
            </w:pPr>
          </w:p>
        </w:tc>
        <w:tc>
          <w:tcPr>
            <w:tcW w:w="1843" w:type="dxa"/>
            <w:tcBorders>
              <w:bottom w:val="single" w:sz="4" w:space="0" w:color="auto"/>
            </w:tcBorders>
            <w:shd w:val="clear" w:color="auto" w:fill="auto"/>
            <w:vAlign w:val="bottom"/>
          </w:tcPr>
          <w:p w:rsidR="00877302" w:rsidRPr="00FF4737" w:rsidRDefault="00877302" w:rsidP="00356AA1">
            <w:pPr>
              <w:spacing w:before="40" w:after="40"/>
              <w:ind w:left="113" w:right="113"/>
              <w:jc w:val="right"/>
              <w:rPr>
                <w:sz w:val="18"/>
              </w:rPr>
            </w:pPr>
          </w:p>
        </w:tc>
      </w:tr>
      <w:tr w:rsidR="00877302" w:rsidRPr="00FF4737">
        <w:tc>
          <w:tcPr>
            <w:tcW w:w="1985" w:type="dxa"/>
            <w:tcBorders>
              <w:top w:val="single" w:sz="4" w:space="0" w:color="auto"/>
              <w:bottom w:val="single" w:sz="12" w:space="0" w:color="auto"/>
            </w:tcBorders>
            <w:shd w:val="clear" w:color="auto" w:fill="auto"/>
            <w:vAlign w:val="bottom"/>
          </w:tcPr>
          <w:p w:rsidR="00877302" w:rsidRPr="00FF4737" w:rsidRDefault="00877302" w:rsidP="00356AA1">
            <w:pPr>
              <w:spacing w:before="80" w:after="80"/>
              <w:ind w:left="284" w:right="284"/>
              <w:jc w:val="both"/>
              <w:rPr>
                <w:b/>
                <w:sz w:val="16"/>
                <w:szCs w:val="16"/>
              </w:rPr>
            </w:pPr>
            <w:r w:rsidRPr="00FF4737">
              <w:rPr>
                <w:b/>
                <w:sz w:val="16"/>
                <w:szCs w:val="16"/>
              </w:rPr>
              <w:t>Total</w:t>
            </w:r>
          </w:p>
        </w:tc>
        <w:tc>
          <w:tcPr>
            <w:tcW w:w="1699" w:type="dxa"/>
            <w:tcBorders>
              <w:top w:val="single" w:sz="4" w:space="0" w:color="auto"/>
              <w:bottom w:val="single" w:sz="12" w:space="0" w:color="auto"/>
            </w:tcBorders>
            <w:shd w:val="clear" w:color="auto" w:fill="auto"/>
            <w:vAlign w:val="bottom"/>
          </w:tcPr>
          <w:p w:rsidR="00877302" w:rsidRPr="00FF4737" w:rsidRDefault="00877302" w:rsidP="00356AA1">
            <w:pPr>
              <w:spacing w:before="80" w:after="80"/>
              <w:ind w:left="113" w:right="113"/>
              <w:jc w:val="right"/>
              <w:rPr>
                <w:b/>
                <w:sz w:val="16"/>
                <w:szCs w:val="16"/>
              </w:rPr>
            </w:pPr>
            <w:r w:rsidRPr="00FF4737">
              <w:rPr>
                <w:b/>
                <w:sz w:val="16"/>
                <w:szCs w:val="16"/>
              </w:rPr>
              <w:t>3</w:t>
            </w:r>
            <w:r w:rsidR="00BB74F6">
              <w:rPr>
                <w:b/>
                <w:sz w:val="16"/>
                <w:szCs w:val="16"/>
              </w:rPr>
              <w:t xml:space="preserve"> </w:t>
            </w:r>
            <w:r w:rsidRPr="00FF4737">
              <w:rPr>
                <w:b/>
                <w:sz w:val="16"/>
                <w:szCs w:val="16"/>
              </w:rPr>
              <w:t>636</w:t>
            </w:r>
          </w:p>
        </w:tc>
        <w:tc>
          <w:tcPr>
            <w:tcW w:w="1843" w:type="dxa"/>
            <w:tcBorders>
              <w:top w:val="single" w:sz="4" w:space="0" w:color="auto"/>
              <w:bottom w:val="single" w:sz="12" w:space="0" w:color="auto"/>
            </w:tcBorders>
            <w:shd w:val="clear" w:color="auto" w:fill="auto"/>
            <w:vAlign w:val="bottom"/>
          </w:tcPr>
          <w:p w:rsidR="00877302" w:rsidRPr="00FF4737" w:rsidRDefault="00877302" w:rsidP="00356AA1">
            <w:pPr>
              <w:spacing w:before="80" w:after="80"/>
              <w:ind w:left="113" w:right="113"/>
              <w:jc w:val="right"/>
              <w:rPr>
                <w:b/>
                <w:sz w:val="16"/>
                <w:szCs w:val="16"/>
              </w:rPr>
            </w:pPr>
            <w:r w:rsidRPr="00FF4737">
              <w:rPr>
                <w:b/>
                <w:sz w:val="16"/>
                <w:szCs w:val="16"/>
              </w:rPr>
              <w:t>3</w:t>
            </w:r>
            <w:r w:rsidR="00BB74F6">
              <w:rPr>
                <w:b/>
                <w:sz w:val="16"/>
                <w:szCs w:val="16"/>
              </w:rPr>
              <w:t xml:space="preserve"> </w:t>
            </w:r>
            <w:r w:rsidRPr="00FF4737">
              <w:rPr>
                <w:b/>
                <w:sz w:val="16"/>
                <w:szCs w:val="16"/>
              </w:rPr>
              <w:t>601</w:t>
            </w:r>
          </w:p>
        </w:tc>
        <w:tc>
          <w:tcPr>
            <w:tcW w:w="1843" w:type="dxa"/>
            <w:tcBorders>
              <w:top w:val="single" w:sz="4" w:space="0" w:color="auto"/>
              <w:bottom w:val="single" w:sz="12" w:space="0" w:color="auto"/>
            </w:tcBorders>
            <w:shd w:val="clear" w:color="auto" w:fill="auto"/>
            <w:vAlign w:val="bottom"/>
          </w:tcPr>
          <w:p w:rsidR="00877302" w:rsidRPr="00FF4737" w:rsidRDefault="00877302" w:rsidP="00356AA1">
            <w:pPr>
              <w:spacing w:before="80" w:after="80"/>
              <w:ind w:left="113" w:right="113"/>
              <w:jc w:val="right"/>
              <w:rPr>
                <w:b/>
                <w:sz w:val="16"/>
                <w:szCs w:val="16"/>
              </w:rPr>
            </w:pPr>
            <w:r w:rsidRPr="00FF4737">
              <w:rPr>
                <w:b/>
                <w:sz w:val="16"/>
                <w:szCs w:val="16"/>
              </w:rPr>
              <w:t>3</w:t>
            </w:r>
            <w:r w:rsidR="00BB74F6">
              <w:rPr>
                <w:b/>
                <w:sz w:val="16"/>
                <w:szCs w:val="16"/>
              </w:rPr>
              <w:t xml:space="preserve"> </w:t>
            </w:r>
            <w:r w:rsidRPr="00FF4737">
              <w:rPr>
                <w:b/>
                <w:sz w:val="16"/>
                <w:szCs w:val="16"/>
              </w:rPr>
              <w:t>523</w:t>
            </w:r>
          </w:p>
        </w:tc>
      </w:tr>
    </w:tbl>
    <w:p w:rsidR="00D14F9C" w:rsidRDefault="00D14F9C" w:rsidP="00356AA1">
      <w:pPr>
        <w:pStyle w:val="SingleTxtG"/>
        <w:ind w:firstLine="567"/>
        <w:rPr>
          <w:sz w:val="18"/>
          <w:szCs w:val="18"/>
        </w:rPr>
      </w:pPr>
      <w:r w:rsidRPr="00356AA1">
        <w:rPr>
          <w:i/>
          <w:sz w:val="18"/>
          <w:szCs w:val="18"/>
          <w:lang w:eastAsia="en-GB"/>
        </w:rPr>
        <w:t>Source</w:t>
      </w:r>
      <w:r w:rsidRPr="00356AA1">
        <w:rPr>
          <w:sz w:val="18"/>
          <w:szCs w:val="18"/>
          <w:lang w:eastAsia="en-GB"/>
        </w:rPr>
        <w:t xml:space="preserve">: </w:t>
      </w:r>
      <w:r w:rsidRPr="00356AA1">
        <w:rPr>
          <w:sz w:val="18"/>
          <w:szCs w:val="18"/>
        </w:rPr>
        <w:t xml:space="preserve">Christine Bell, “Dealing with the Past in Northern Ireland”, </w:t>
      </w:r>
      <w:r w:rsidRPr="00356AA1">
        <w:rPr>
          <w:i/>
          <w:sz w:val="18"/>
          <w:szCs w:val="18"/>
        </w:rPr>
        <w:t>Fordham Law Review</w:t>
      </w:r>
      <w:r w:rsidRPr="00356AA1">
        <w:rPr>
          <w:sz w:val="18"/>
          <w:szCs w:val="18"/>
        </w:rPr>
        <w:t>, Vol. 26, No. 4, 2002</w:t>
      </w:r>
      <w:r>
        <w:rPr>
          <w:sz w:val="18"/>
          <w:szCs w:val="18"/>
        </w:rPr>
        <w:t>.</w:t>
      </w:r>
    </w:p>
    <w:p w:rsidR="00FF4737" w:rsidRPr="00356AA1" w:rsidRDefault="006B54C4">
      <w:pPr>
        <w:pStyle w:val="SingleTxtG"/>
        <w:rPr>
          <w:sz w:val="20"/>
        </w:rPr>
      </w:pPr>
      <w:r w:rsidRPr="00356AA1">
        <w:rPr>
          <w:sz w:val="20"/>
          <w:lang w:eastAsia="en-GB"/>
        </w:rPr>
        <w:t>5</w:t>
      </w:r>
      <w:r w:rsidR="00781044">
        <w:rPr>
          <w:sz w:val="20"/>
          <w:lang w:eastAsia="en-GB"/>
        </w:rPr>
        <w:t>3</w:t>
      </w:r>
      <w:r w:rsidRPr="00356AA1">
        <w:rPr>
          <w:sz w:val="20"/>
          <w:lang w:eastAsia="en-GB"/>
        </w:rPr>
        <w:t>.</w:t>
      </w:r>
      <w:r w:rsidRPr="00356AA1">
        <w:rPr>
          <w:sz w:val="20"/>
          <w:lang w:eastAsia="en-GB"/>
        </w:rPr>
        <w:tab/>
        <w:t xml:space="preserve">Any assessment of the justice sector from </w:t>
      </w:r>
      <w:r w:rsidR="00185107">
        <w:rPr>
          <w:sz w:val="20"/>
          <w:lang w:eastAsia="en-GB"/>
        </w:rPr>
        <w:t xml:space="preserve">the </w:t>
      </w:r>
      <w:r w:rsidR="00185107" w:rsidRPr="008F773A">
        <w:rPr>
          <w:sz w:val="20"/>
          <w:lang w:eastAsia="en-GB"/>
        </w:rPr>
        <w:t xml:space="preserve">standpoint </w:t>
      </w:r>
      <w:r w:rsidR="00185107">
        <w:rPr>
          <w:sz w:val="20"/>
          <w:lang w:eastAsia="en-GB"/>
        </w:rPr>
        <w:t>of</w:t>
      </w:r>
      <w:r w:rsidRPr="00356AA1">
        <w:rPr>
          <w:sz w:val="20"/>
          <w:lang w:eastAsia="en-GB"/>
        </w:rPr>
        <w:t xml:space="preserve"> transitional justice would require know</w:t>
      </w:r>
      <w:r w:rsidR="00185107">
        <w:rPr>
          <w:sz w:val="20"/>
          <w:lang w:eastAsia="en-GB"/>
        </w:rPr>
        <w:t>ledge of</w:t>
      </w:r>
      <w:r w:rsidRPr="00356AA1">
        <w:rPr>
          <w:sz w:val="20"/>
          <w:lang w:eastAsia="en-GB"/>
        </w:rPr>
        <w:t xml:space="preserve"> </w:t>
      </w:r>
      <w:r w:rsidR="00185107">
        <w:rPr>
          <w:sz w:val="20"/>
          <w:lang w:eastAsia="en-GB"/>
        </w:rPr>
        <w:t>the type</w:t>
      </w:r>
      <w:r w:rsidRPr="00356AA1">
        <w:rPr>
          <w:sz w:val="20"/>
          <w:lang w:eastAsia="en-GB"/>
        </w:rPr>
        <w:t xml:space="preserve"> of contribution it made </w:t>
      </w:r>
      <w:r w:rsidR="00185107">
        <w:rPr>
          <w:sz w:val="20"/>
          <w:lang w:eastAsia="en-GB"/>
        </w:rPr>
        <w:t>in</w:t>
      </w:r>
      <w:r w:rsidRPr="00356AA1">
        <w:rPr>
          <w:sz w:val="20"/>
          <w:lang w:eastAsia="en-GB"/>
        </w:rPr>
        <w:t xml:space="preserve"> clarifying the numbers above, and how it tracked (or </w:t>
      </w:r>
      <w:r w:rsidR="00185107">
        <w:rPr>
          <w:sz w:val="20"/>
          <w:lang w:eastAsia="en-GB"/>
        </w:rPr>
        <w:t xml:space="preserve">did </w:t>
      </w:r>
      <w:r w:rsidRPr="00356AA1">
        <w:rPr>
          <w:sz w:val="20"/>
          <w:lang w:eastAsia="en-GB"/>
        </w:rPr>
        <w:t>not</w:t>
      </w:r>
      <w:r w:rsidR="00185107">
        <w:rPr>
          <w:sz w:val="20"/>
          <w:lang w:eastAsia="en-GB"/>
        </w:rPr>
        <w:t xml:space="preserve"> track</w:t>
      </w:r>
      <w:r w:rsidRPr="00356AA1">
        <w:rPr>
          <w:sz w:val="20"/>
          <w:lang w:eastAsia="en-GB"/>
        </w:rPr>
        <w:t>) the resulting figures.</w:t>
      </w:r>
      <w:r w:rsidR="00781044">
        <w:rPr>
          <w:sz w:val="20"/>
          <w:lang w:eastAsia="en-GB"/>
        </w:rPr>
        <w:t xml:space="preserve"> </w:t>
      </w:r>
      <w:r w:rsidRPr="00356AA1">
        <w:rPr>
          <w:sz w:val="20"/>
        </w:rPr>
        <w:t>No one’s interests or rights are se</w:t>
      </w:r>
      <w:r w:rsidR="008E2A5F" w:rsidRPr="00356AA1">
        <w:rPr>
          <w:sz w:val="20"/>
        </w:rPr>
        <w:t xml:space="preserve">rved by the lack of certainty. </w:t>
      </w:r>
      <w:r w:rsidRPr="00356AA1">
        <w:rPr>
          <w:sz w:val="20"/>
        </w:rPr>
        <w:t xml:space="preserve">Some uncertainty results from unresolved cases, but </w:t>
      </w:r>
      <w:r w:rsidR="00A873FE">
        <w:rPr>
          <w:sz w:val="20"/>
        </w:rPr>
        <w:t xml:space="preserve">also </w:t>
      </w:r>
      <w:r w:rsidRPr="00356AA1">
        <w:rPr>
          <w:sz w:val="20"/>
        </w:rPr>
        <w:t xml:space="preserve">from dispersed, non-systematized </w:t>
      </w:r>
      <w:r w:rsidR="00A873FE">
        <w:rPr>
          <w:sz w:val="20"/>
        </w:rPr>
        <w:t>or</w:t>
      </w:r>
      <w:r w:rsidRPr="00356AA1">
        <w:rPr>
          <w:sz w:val="20"/>
        </w:rPr>
        <w:t xml:space="preserve"> unanalysed data. The </w:t>
      </w:r>
      <w:r w:rsidR="00A873FE">
        <w:rPr>
          <w:sz w:val="20"/>
        </w:rPr>
        <w:t>G</w:t>
      </w:r>
      <w:r w:rsidRPr="00356AA1">
        <w:rPr>
          <w:sz w:val="20"/>
        </w:rPr>
        <w:t xml:space="preserve">overnment </w:t>
      </w:r>
      <w:r w:rsidR="00A873FE">
        <w:rPr>
          <w:sz w:val="20"/>
        </w:rPr>
        <w:t>of the United Kingdom could</w:t>
      </w:r>
      <w:r w:rsidR="00A873FE" w:rsidRPr="00356AA1">
        <w:rPr>
          <w:sz w:val="20"/>
        </w:rPr>
        <w:t xml:space="preserve"> </w:t>
      </w:r>
      <w:r w:rsidRPr="00356AA1">
        <w:rPr>
          <w:sz w:val="20"/>
        </w:rPr>
        <w:t xml:space="preserve">do much more to mitigate both sources of uncertainty. </w:t>
      </w:r>
      <w:r w:rsidR="004C5812">
        <w:rPr>
          <w:sz w:val="20"/>
        </w:rPr>
        <w:t>N</w:t>
      </w:r>
      <w:r w:rsidRPr="00356AA1">
        <w:rPr>
          <w:sz w:val="20"/>
        </w:rPr>
        <w:t>othing undermines the potential of justice measures more than their perceived lack of impartiality.</w:t>
      </w:r>
    </w:p>
    <w:p w:rsidR="00FF4737" w:rsidRPr="00356AA1" w:rsidRDefault="006B54C4" w:rsidP="00356AA1">
      <w:pPr>
        <w:pStyle w:val="SingleTxtG"/>
        <w:rPr>
          <w:sz w:val="20"/>
        </w:rPr>
      </w:pPr>
      <w:r w:rsidRPr="00356AA1">
        <w:rPr>
          <w:sz w:val="20"/>
        </w:rPr>
        <w:t>5</w:t>
      </w:r>
      <w:r w:rsidR="00781044">
        <w:rPr>
          <w:sz w:val="20"/>
        </w:rPr>
        <w:t>4</w:t>
      </w:r>
      <w:r w:rsidRPr="00356AA1">
        <w:rPr>
          <w:sz w:val="20"/>
        </w:rPr>
        <w:t>.</w:t>
      </w:r>
      <w:r w:rsidRPr="00356AA1">
        <w:rPr>
          <w:sz w:val="20"/>
        </w:rPr>
        <w:tab/>
        <w:t xml:space="preserve">At present, figures </w:t>
      </w:r>
      <w:r w:rsidR="00A873FE">
        <w:rPr>
          <w:sz w:val="20"/>
        </w:rPr>
        <w:t>on the</w:t>
      </w:r>
      <w:r w:rsidR="00A873FE" w:rsidRPr="00356AA1">
        <w:rPr>
          <w:sz w:val="20"/>
        </w:rPr>
        <w:t xml:space="preserve"> </w:t>
      </w:r>
      <w:r w:rsidRPr="00356AA1">
        <w:rPr>
          <w:sz w:val="20"/>
        </w:rPr>
        <w:t xml:space="preserve">prosecution of </w:t>
      </w:r>
      <w:r w:rsidR="00A873FE">
        <w:rPr>
          <w:sz w:val="20"/>
        </w:rPr>
        <w:t>S</w:t>
      </w:r>
      <w:r w:rsidRPr="00356AA1">
        <w:rPr>
          <w:sz w:val="20"/>
        </w:rPr>
        <w:t xml:space="preserve">tate agents </w:t>
      </w:r>
      <w:r w:rsidR="00A873FE">
        <w:rPr>
          <w:sz w:val="20"/>
        </w:rPr>
        <w:t>do</w:t>
      </w:r>
      <w:r w:rsidRPr="00356AA1">
        <w:rPr>
          <w:sz w:val="20"/>
        </w:rPr>
        <w:t xml:space="preserve"> not coincide with the rough 10</w:t>
      </w:r>
      <w:r w:rsidR="00A873FE">
        <w:rPr>
          <w:sz w:val="20"/>
        </w:rPr>
        <w:t xml:space="preserve"> per cent</w:t>
      </w:r>
      <w:r w:rsidRPr="00356AA1">
        <w:rPr>
          <w:sz w:val="20"/>
        </w:rPr>
        <w:t xml:space="preserve"> figure attributed to State agents.</w:t>
      </w:r>
      <w:r w:rsidRPr="00A873FE">
        <w:rPr>
          <w:rStyle w:val="FootnoteReference"/>
          <w:szCs w:val="18"/>
        </w:rPr>
        <w:footnoteReference w:id="11"/>
      </w:r>
      <w:r w:rsidRPr="00356AA1">
        <w:rPr>
          <w:sz w:val="20"/>
        </w:rPr>
        <w:t xml:space="preserve"> Manifest unevenness in the distribution of investigatory and prosecutorial initiatives undermines confidence in rule of law institutions.</w:t>
      </w:r>
      <w:r w:rsidR="00781044">
        <w:rPr>
          <w:sz w:val="20"/>
        </w:rPr>
        <w:t xml:space="preserve"> </w:t>
      </w:r>
    </w:p>
    <w:p w:rsidR="00FF4737" w:rsidRPr="00356AA1" w:rsidRDefault="006B54C4">
      <w:pPr>
        <w:pStyle w:val="SingleTxtG"/>
        <w:rPr>
          <w:sz w:val="20"/>
        </w:rPr>
      </w:pPr>
      <w:r w:rsidRPr="00356AA1">
        <w:rPr>
          <w:sz w:val="20"/>
        </w:rPr>
        <w:t>5</w:t>
      </w:r>
      <w:r w:rsidR="00781044">
        <w:rPr>
          <w:sz w:val="20"/>
        </w:rPr>
        <w:t>5</w:t>
      </w:r>
      <w:r w:rsidRPr="00356AA1">
        <w:rPr>
          <w:sz w:val="20"/>
        </w:rPr>
        <w:t>.</w:t>
      </w:r>
      <w:r w:rsidRPr="00356AA1">
        <w:rPr>
          <w:sz w:val="20"/>
        </w:rPr>
        <w:tab/>
        <w:t xml:space="preserve">The </w:t>
      </w:r>
      <w:r w:rsidR="00A873FE">
        <w:rPr>
          <w:sz w:val="20"/>
        </w:rPr>
        <w:t>Good Friday</w:t>
      </w:r>
      <w:r w:rsidR="002453DC">
        <w:rPr>
          <w:sz w:val="20"/>
        </w:rPr>
        <w:t xml:space="preserve"> </w:t>
      </w:r>
      <w:r w:rsidRPr="00356AA1">
        <w:rPr>
          <w:sz w:val="20"/>
        </w:rPr>
        <w:t>Agreement established an early release program</w:t>
      </w:r>
      <w:r w:rsidR="00A35C69">
        <w:rPr>
          <w:sz w:val="20"/>
        </w:rPr>
        <w:t>me</w:t>
      </w:r>
      <w:r w:rsidRPr="00356AA1">
        <w:rPr>
          <w:sz w:val="20"/>
        </w:rPr>
        <w:t xml:space="preserve"> for prisoners to be completed within two years of the signature of the A</w:t>
      </w:r>
      <w:r w:rsidR="003D1E7C">
        <w:rPr>
          <w:sz w:val="20"/>
        </w:rPr>
        <w:t>greement</w:t>
      </w:r>
      <w:r w:rsidR="00A35C69">
        <w:rPr>
          <w:sz w:val="20"/>
        </w:rPr>
        <w:t>,</w:t>
      </w:r>
      <w:r w:rsidRPr="00356AA1">
        <w:rPr>
          <w:sz w:val="20"/>
        </w:rPr>
        <w:t xml:space="preserve"> and explicitly acknowledged the need for reintegration support for released paramilitaries.</w:t>
      </w:r>
      <w:r w:rsidRPr="00A35C69">
        <w:rPr>
          <w:rStyle w:val="FootnoteReference"/>
          <w:szCs w:val="18"/>
        </w:rPr>
        <w:footnoteReference w:id="12"/>
      </w:r>
      <w:r w:rsidRPr="00356AA1">
        <w:rPr>
          <w:sz w:val="20"/>
        </w:rPr>
        <w:t xml:space="preserve"> </w:t>
      </w:r>
    </w:p>
    <w:p w:rsidR="00FF4737" w:rsidRPr="00356AA1" w:rsidRDefault="006B54C4">
      <w:pPr>
        <w:pStyle w:val="SingleTxtG"/>
        <w:rPr>
          <w:sz w:val="20"/>
        </w:rPr>
      </w:pPr>
      <w:r w:rsidRPr="00356AA1">
        <w:rPr>
          <w:sz w:val="20"/>
        </w:rPr>
        <w:t>5</w:t>
      </w:r>
      <w:r w:rsidR="00781044">
        <w:rPr>
          <w:sz w:val="20"/>
        </w:rPr>
        <w:t>6</w:t>
      </w:r>
      <w:r w:rsidRPr="00356AA1">
        <w:rPr>
          <w:sz w:val="20"/>
        </w:rPr>
        <w:t>.</w:t>
      </w:r>
      <w:r w:rsidRPr="00356AA1">
        <w:rPr>
          <w:sz w:val="20"/>
        </w:rPr>
        <w:tab/>
      </w:r>
      <w:r w:rsidR="0015458F">
        <w:rPr>
          <w:sz w:val="20"/>
        </w:rPr>
        <w:t>T</w:t>
      </w:r>
      <w:r w:rsidR="0015458F" w:rsidRPr="00035016">
        <w:rPr>
          <w:sz w:val="20"/>
        </w:rPr>
        <w:t>o implement its part of the Agreement</w:t>
      </w:r>
      <w:r w:rsidR="0015458F">
        <w:rPr>
          <w:sz w:val="20"/>
        </w:rPr>
        <w:t>,</w:t>
      </w:r>
      <w:r w:rsidR="0015458F" w:rsidRPr="0015458F">
        <w:rPr>
          <w:sz w:val="20"/>
        </w:rPr>
        <w:t xml:space="preserve"> </w:t>
      </w:r>
      <w:r w:rsidR="0015458F">
        <w:rPr>
          <w:sz w:val="20"/>
        </w:rPr>
        <w:t>t</w:t>
      </w:r>
      <w:r w:rsidRPr="00356AA1">
        <w:rPr>
          <w:sz w:val="20"/>
        </w:rPr>
        <w:t xml:space="preserve">he </w:t>
      </w:r>
      <w:r w:rsidR="00A873FE">
        <w:rPr>
          <w:sz w:val="20"/>
        </w:rPr>
        <w:t>United Kingdom</w:t>
      </w:r>
      <w:r w:rsidR="00A873FE" w:rsidRPr="00356AA1">
        <w:rPr>
          <w:sz w:val="20"/>
        </w:rPr>
        <w:t xml:space="preserve"> </w:t>
      </w:r>
      <w:r w:rsidRPr="00356AA1">
        <w:rPr>
          <w:sz w:val="20"/>
        </w:rPr>
        <w:t xml:space="preserve">adopted the </w:t>
      </w:r>
      <w:r w:rsidR="00A217A5" w:rsidRPr="00356AA1">
        <w:rPr>
          <w:sz w:val="20"/>
        </w:rPr>
        <w:t xml:space="preserve">Northern Ireland </w:t>
      </w:r>
      <w:r w:rsidRPr="00356AA1">
        <w:rPr>
          <w:sz w:val="20"/>
        </w:rPr>
        <w:t xml:space="preserve">(Sentences) Act in 1998, which created an independent Sentence Review Commission. Triggered by individual inmate applications, the Commission’s determinations could be challenged for judicial review. </w:t>
      </w:r>
    </w:p>
    <w:p w:rsidR="00FF4737" w:rsidRPr="00356AA1" w:rsidRDefault="006B54C4">
      <w:pPr>
        <w:pStyle w:val="SingleTxtG"/>
        <w:rPr>
          <w:sz w:val="20"/>
        </w:rPr>
      </w:pPr>
      <w:r w:rsidRPr="00356AA1">
        <w:rPr>
          <w:sz w:val="20"/>
        </w:rPr>
        <w:t>5</w:t>
      </w:r>
      <w:r w:rsidR="00781044">
        <w:rPr>
          <w:sz w:val="20"/>
        </w:rPr>
        <w:t>7</w:t>
      </w:r>
      <w:r w:rsidRPr="00356AA1">
        <w:rPr>
          <w:sz w:val="20"/>
        </w:rPr>
        <w:t>.</w:t>
      </w:r>
      <w:r w:rsidRPr="00356AA1">
        <w:rPr>
          <w:sz w:val="20"/>
        </w:rPr>
        <w:tab/>
      </w:r>
      <w:r w:rsidR="00561EDC">
        <w:rPr>
          <w:sz w:val="20"/>
        </w:rPr>
        <w:t>U</w:t>
      </w:r>
      <w:r w:rsidRPr="00356AA1">
        <w:rPr>
          <w:sz w:val="20"/>
        </w:rPr>
        <w:t>nder the Act, prisoners sentenced to five or more years would serve one</w:t>
      </w:r>
      <w:r w:rsidR="0015458F">
        <w:rPr>
          <w:sz w:val="20"/>
        </w:rPr>
        <w:t xml:space="preserve"> </w:t>
      </w:r>
      <w:r w:rsidRPr="00356AA1">
        <w:rPr>
          <w:sz w:val="20"/>
        </w:rPr>
        <w:t>third of their sentence, while prisoners sentenced to life would serve two</w:t>
      </w:r>
      <w:r w:rsidR="0015458F">
        <w:rPr>
          <w:sz w:val="20"/>
        </w:rPr>
        <w:t xml:space="preserve"> </w:t>
      </w:r>
      <w:r w:rsidRPr="00356AA1">
        <w:rPr>
          <w:sz w:val="20"/>
        </w:rPr>
        <w:t>thirds of the sentence served by a prisoner convicted of an equivalent offence</w:t>
      </w:r>
      <w:r w:rsidR="00A2060E">
        <w:rPr>
          <w:sz w:val="20"/>
        </w:rPr>
        <w:t xml:space="preserve"> but not related to the “anti-terrorist” laws adopted to address the Troubles)</w:t>
      </w:r>
      <w:r w:rsidRPr="00356AA1">
        <w:rPr>
          <w:sz w:val="20"/>
        </w:rPr>
        <w:t xml:space="preserve">. All prisoners remaining </w:t>
      </w:r>
      <w:r w:rsidR="0015458F">
        <w:rPr>
          <w:sz w:val="20"/>
        </w:rPr>
        <w:t>were to be</w:t>
      </w:r>
      <w:r w:rsidRPr="00356AA1">
        <w:rPr>
          <w:sz w:val="20"/>
        </w:rPr>
        <w:t xml:space="preserve"> released by July 2000.</w:t>
      </w:r>
      <w:r w:rsidR="00781044">
        <w:rPr>
          <w:sz w:val="20"/>
        </w:rPr>
        <w:t xml:space="preserve"> </w:t>
      </w:r>
    </w:p>
    <w:p w:rsidR="00FF4737" w:rsidRPr="00356AA1" w:rsidRDefault="006B54C4">
      <w:pPr>
        <w:pStyle w:val="SingleTxtG"/>
        <w:rPr>
          <w:sz w:val="20"/>
        </w:rPr>
      </w:pPr>
      <w:r w:rsidRPr="00356AA1">
        <w:rPr>
          <w:sz w:val="20"/>
        </w:rPr>
        <w:t>5</w:t>
      </w:r>
      <w:r w:rsidR="00781044">
        <w:rPr>
          <w:sz w:val="20"/>
        </w:rPr>
        <w:t>8</w:t>
      </w:r>
      <w:r w:rsidRPr="00356AA1">
        <w:rPr>
          <w:sz w:val="20"/>
        </w:rPr>
        <w:t>.</w:t>
      </w:r>
      <w:r w:rsidRPr="00356AA1">
        <w:rPr>
          <w:sz w:val="20"/>
        </w:rPr>
        <w:tab/>
        <w:t xml:space="preserve">The early release scheme was an important enabling condition of the </w:t>
      </w:r>
      <w:r w:rsidR="0015458F">
        <w:rPr>
          <w:sz w:val="20"/>
        </w:rPr>
        <w:t>Good Friday</w:t>
      </w:r>
      <w:r w:rsidR="00B702DD">
        <w:rPr>
          <w:sz w:val="20"/>
        </w:rPr>
        <w:t xml:space="preserve"> </w:t>
      </w:r>
      <w:r w:rsidRPr="00356AA1">
        <w:rPr>
          <w:sz w:val="20"/>
        </w:rPr>
        <w:t>Agreement. Negotiated agreements between undefeated parties often involve such transactions. Nevertheless, at least for those who had been convicted and imprisoned, the Agreement did not establish an impunity regime: all of the 449 prisoners released by 2000 had served between 67 and 72</w:t>
      </w:r>
      <w:r w:rsidR="00B43446">
        <w:rPr>
          <w:sz w:val="20"/>
        </w:rPr>
        <w:t xml:space="preserve"> per cent</w:t>
      </w:r>
      <w:r w:rsidRPr="00356AA1">
        <w:rPr>
          <w:sz w:val="20"/>
        </w:rPr>
        <w:t xml:space="preserve"> of the time they would have served without early release.</w:t>
      </w:r>
      <w:r w:rsidRPr="006178F3">
        <w:rPr>
          <w:rStyle w:val="FootnoteReference"/>
        </w:rPr>
        <w:footnoteReference w:id="13"/>
      </w:r>
      <w:r w:rsidRPr="00356AA1">
        <w:rPr>
          <w:sz w:val="18"/>
        </w:rPr>
        <w:t xml:space="preserve"> </w:t>
      </w:r>
    </w:p>
    <w:p w:rsidR="00FF4737" w:rsidRPr="00FF4737" w:rsidRDefault="00781044">
      <w:pPr>
        <w:pStyle w:val="SingleTxtG"/>
      </w:pPr>
      <w:r>
        <w:rPr>
          <w:sz w:val="20"/>
        </w:rPr>
        <w:lastRenderedPageBreak/>
        <w:t>59</w:t>
      </w:r>
      <w:r w:rsidR="006B54C4" w:rsidRPr="00356AA1">
        <w:rPr>
          <w:sz w:val="20"/>
        </w:rPr>
        <w:t>.</w:t>
      </w:r>
      <w:r w:rsidR="006B54C4" w:rsidRPr="00356AA1">
        <w:rPr>
          <w:sz w:val="20"/>
        </w:rPr>
        <w:tab/>
        <w:t xml:space="preserve">The impunity gap in </w:t>
      </w:r>
      <w:r w:rsidR="00A217A5" w:rsidRPr="00356AA1">
        <w:rPr>
          <w:sz w:val="20"/>
        </w:rPr>
        <w:t xml:space="preserve">Northern Ireland </w:t>
      </w:r>
      <w:r w:rsidR="006B54C4" w:rsidRPr="00356AA1">
        <w:rPr>
          <w:sz w:val="20"/>
        </w:rPr>
        <w:t xml:space="preserve">does not come so much from early release as from </w:t>
      </w:r>
      <w:r w:rsidR="00856361">
        <w:rPr>
          <w:sz w:val="20"/>
        </w:rPr>
        <w:t xml:space="preserve">apparent </w:t>
      </w:r>
      <w:r w:rsidR="006B54C4" w:rsidRPr="00356AA1">
        <w:rPr>
          <w:sz w:val="20"/>
        </w:rPr>
        <w:t xml:space="preserve">selectivity in the </w:t>
      </w:r>
      <w:r w:rsidR="00856361">
        <w:rPr>
          <w:sz w:val="20"/>
        </w:rPr>
        <w:t>deployment of prosecutorial resources</w:t>
      </w:r>
      <w:r w:rsidR="006B54C4" w:rsidRPr="00356AA1">
        <w:rPr>
          <w:sz w:val="20"/>
        </w:rPr>
        <w:t>, and from gaps derived from the almost exclusive attention to cases leading to death.</w:t>
      </w:r>
      <w:r>
        <w:t xml:space="preserve"> </w:t>
      </w:r>
    </w:p>
    <w:p w:rsidR="00FF4737" w:rsidRPr="00FF4737" w:rsidRDefault="00844327" w:rsidP="00356AA1">
      <w:pPr>
        <w:pStyle w:val="HChG"/>
        <w:spacing w:line="240" w:lineRule="atLeast"/>
        <w:rPr>
          <w:lang w:eastAsia="en-GB"/>
        </w:rPr>
      </w:pPr>
      <w:r w:rsidRPr="00FF4737">
        <w:rPr>
          <w:lang w:eastAsia="en-GB"/>
        </w:rPr>
        <w:tab/>
        <w:t>VI.</w:t>
      </w:r>
      <w:r w:rsidRPr="00FF4737">
        <w:rPr>
          <w:lang w:eastAsia="en-GB"/>
        </w:rPr>
        <w:tab/>
        <w:t>Reparations</w:t>
      </w:r>
    </w:p>
    <w:p w:rsidR="00FF4737" w:rsidRPr="00356AA1" w:rsidRDefault="00BD6BB6">
      <w:pPr>
        <w:pStyle w:val="SingleTxtG"/>
        <w:rPr>
          <w:sz w:val="20"/>
        </w:rPr>
      </w:pPr>
      <w:r w:rsidRPr="00356AA1">
        <w:rPr>
          <w:rFonts w:cs="Arial"/>
          <w:color w:val="000000"/>
          <w:sz w:val="20"/>
          <w:lang w:eastAsia="en-GB"/>
        </w:rPr>
        <w:t>6</w:t>
      </w:r>
      <w:r w:rsidR="00781044">
        <w:rPr>
          <w:rFonts w:cs="Arial"/>
          <w:color w:val="000000"/>
          <w:sz w:val="20"/>
          <w:lang w:eastAsia="en-GB"/>
        </w:rPr>
        <w:t>0</w:t>
      </w:r>
      <w:r w:rsidRPr="00356AA1">
        <w:rPr>
          <w:rFonts w:cs="Arial"/>
          <w:color w:val="000000"/>
          <w:sz w:val="20"/>
          <w:lang w:eastAsia="en-GB"/>
        </w:rPr>
        <w:t>.</w:t>
      </w:r>
      <w:r w:rsidRPr="00356AA1">
        <w:rPr>
          <w:rFonts w:cs="Arial"/>
          <w:color w:val="000000"/>
          <w:sz w:val="20"/>
          <w:lang w:eastAsia="en-GB"/>
        </w:rPr>
        <w:tab/>
        <w:t xml:space="preserve">The area of </w:t>
      </w:r>
      <w:r w:rsidR="00856361">
        <w:rPr>
          <w:rFonts w:cs="Arial"/>
          <w:color w:val="000000"/>
          <w:sz w:val="20"/>
          <w:lang w:eastAsia="en-GB"/>
        </w:rPr>
        <w:t>least achievement</w:t>
      </w:r>
      <w:r w:rsidRPr="00356AA1">
        <w:rPr>
          <w:rFonts w:cs="Arial"/>
          <w:color w:val="000000"/>
          <w:sz w:val="20"/>
          <w:lang w:eastAsia="en-GB"/>
        </w:rPr>
        <w:t xml:space="preserve"> in the </w:t>
      </w:r>
      <w:r w:rsidR="00E31946" w:rsidRPr="00E65739">
        <w:rPr>
          <w:rFonts w:cs="Arial"/>
          <w:color w:val="000000"/>
          <w:sz w:val="20"/>
          <w:lang w:eastAsia="en-GB"/>
        </w:rPr>
        <w:t>context</w:t>
      </w:r>
      <w:r w:rsidR="00E31946">
        <w:rPr>
          <w:rFonts w:cs="Arial"/>
          <w:color w:val="000000"/>
          <w:sz w:val="20"/>
          <w:lang w:eastAsia="en-GB"/>
        </w:rPr>
        <w:t xml:space="preserve"> of</w:t>
      </w:r>
      <w:r w:rsidR="00E31946" w:rsidRPr="00E65739">
        <w:rPr>
          <w:rFonts w:cs="Arial"/>
          <w:color w:val="000000"/>
          <w:sz w:val="20"/>
          <w:lang w:eastAsia="en-GB"/>
        </w:rPr>
        <w:t xml:space="preserve"> </w:t>
      </w:r>
      <w:r w:rsidR="00A217A5" w:rsidRPr="00356AA1">
        <w:rPr>
          <w:sz w:val="20"/>
        </w:rPr>
        <w:t xml:space="preserve">Northern Ireland </w:t>
      </w:r>
      <w:r w:rsidRPr="00356AA1">
        <w:rPr>
          <w:rFonts w:cs="Arial"/>
          <w:color w:val="000000"/>
          <w:sz w:val="20"/>
          <w:lang w:eastAsia="en-GB"/>
        </w:rPr>
        <w:t xml:space="preserve">remains reparations, despite </w:t>
      </w:r>
      <w:r w:rsidRPr="00356AA1">
        <w:rPr>
          <w:sz w:val="20"/>
        </w:rPr>
        <w:t>variou</w:t>
      </w:r>
      <w:r w:rsidR="00BD28EC" w:rsidRPr="00356AA1">
        <w:rPr>
          <w:sz w:val="20"/>
        </w:rPr>
        <w:t>s programmes to assist victims</w:t>
      </w:r>
      <w:r w:rsidR="00071869">
        <w:rPr>
          <w:sz w:val="20"/>
        </w:rPr>
        <w:t>:</w:t>
      </w:r>
      <w:r w:rsidRPr="00356AA1">
        <w:rPr>
          <w:sz w:val="20"/>
        </w:rPr>
        <w:t xml:space="preserve"> the criminal compensation schemes of 1977, 1988 and 2002; the special payments </w:t>
      </w:r>
      <w:r w:rsidR="00071869">
        <w:rPr>
          <w:sz w:val="20"/>
        </w:rPr>
        <w:t xml:space="preserve">made in </w:t>
      </w:r>
      <w:r w:rsidR="00071869" w:rsidRPr="00D9031F">
        <w:rPr>
          <w:sz w:val="20"/>
        </w:rPr>
        <w:t xml:space="preserve">1998 </w:t>
      </w:r>
      <w:r w:rsidRPr="00356AA1">
        <w:rPr>
          <w:sz w:val="20"/>
        </w:rPr>
        <w:t xml:space="preserve">to the families of the </w:t>
      </w:r>
      <w:r w:rsidR="00071869">
        <w:rPr>
          <w:sz w:val="20"/>
        </w:rPr>
        <w:t>“</w:t>
      </w:r>
      <w:r w:rsidRPr="00356AA1">
        <w:rPr>
          <w:sz w:val="20"/>
        </w:rPr>
        <w:t>disappeared</w:t>
      </w:r>
      <w:r w:rsidR="00071869">
        <w:rPr>
          <w:sz w:val="20"/>
        </w:rPr>
        <w:t>”</w:t>
      </w:r>
      <w:r w:rsidRPr="00356AA1">
        <w:rPr>
          <w:sz w:val="20"/>
        </w:rPr>
        <w:t xml:space="preserve">; the </w:t>
      </w:r>
      <w:r w:rsidR="00A217A5" w:rsidRPr="00356AA1">
        <w:rPr>
          <w:sz w:val="20"/>
        </w:rPr>
        <w:t xml:space="preserve">Northern Ireland </w:t>
      </w:r>
      <w:r w:rsidRPr="00356AA1">
        <w:rPr>
          <w:sz w:val="20"/>
        </w:rPr>
        <w:t>Memorial Fund of 2001-2013</w:t>
      </w:r>
      <w:r w:rsidR="00856361">
        <w:rPr>
          <w:sz w:val="20"/>
        </w:rPr>
        <w:t xml:space="preserve"> (</w:t>
      </w:r>
      <w:r w:rsidR="00856361" w:rsidRPr="00356AA1">
        <w:rPr>
          <w:sz w:val="20"/>
          <w:szCs w:val="20"/>
        </w:rPr>
        <w:t>an independent charity created to provide assistance to bereaved or injured victims of the Troubles)</w:t>
      </w:r>
      <w:r w:rsidRPr="00356AA1">
        <w:rPr>
          <w:sz w:val="20"/>
          <w:szCs w:val="20"/>
        </w:rPr>
        <w:t>;</w:t>
      </w:r>
      <w:r w:rsidRPr="00356AA1">
        <w:rPr>
          <w:sz w:val="20"/>
        </w:rPr>
        <w:t xml:space="preserve"> the Victims and Survivors Service</w:t>
      </w:r>
      <w:r w:rsidR="00071869">
        <w:rPr>
          <w:sz w:val="20"/>
        </w:rPr>
        <w:t>,</w:t>
      </w:r>
      <w:r w:rsidRPr="00356AA1">
        <w:rPr>
          <w:sz w:val="20"/>
        </w:rPr>
        <w:t xml:space="preserve"> established in 2012; and other forms of support for members of the security forces or their families. These forms of assistance have mobilized significant resources.</w:t>
      </w:r>
      <w:r w:rsidRPr="00071869">
        <w:rPr>
          <w:rStyle w:val="FootnoteReference"/>
          <w:szCs w:val="18"/>
        </w:rPr>
        <w:footnoteReference w:id="14"/>
      </w:r>
      <w:r w:rsidRPr="00356AA1">
        <w:rPr>
          <w:sz w:val="20"/>
        </w:rPr>
        <w:t xml:space="preserve"> </w:t>
      </w:r>
    </w:p>
    <w:p w:rsidR="00FF4737" w:rsidRPr="00356AA1" w:rsidRDefault="00BD6BB6">
      <w:pPr>
        <w:pStyle w:val="SingleTxtG"/>
        <w:rPr>
          <w:rFonts w:cs="Arial"/>
          <w:color w:val="000000"/>
          <w:sz w:val="20"/>
          <w:lang w:eastAsia="en-GB"/>
        </w:rPr>
      </w:pPr>
      <w:r w:rsidRPr="00356AA1">
        <w:rPr>
          <w:sz w:val="20"/>
        </w:rPr>
        <w:t>6</w:t>
      </w:r>
      <w:r w:rsidR="00781044">
        <w:rPr>
          <w:sz w:val="20"/>
        </w:rPr>
        <w:t>1</w:t>
      </w:r>
      <w:r w:rsidRPr="00356AA1">
        <w:rPr>
          <w:sz w:val="20"/>
        </w:rPr>
        <w:t>.</w:t>
      </w:r>
      <w:r w:rsidRPr="00356AA1">
        <w:rPr>
          <w:sz w:val="20"/>
        </w:rPr>
        <w:tab/>
        <w:t xml:space="preserve">There </w:t>
      </w:r>
      <w:r w:rsidR="00671DB6">
        <w:rPr>
          <w:sz w:val="20"/>
        </w:rPr>
        <w:t xml:space="preserve">are </w:t>
      </w:r>
      <w:r w:rsidRPr="00356AA1">
        <w:rPr>
          <w:sz w:val="20"/>
        </w:rPr>
        <w:t>no official figure</w:t>
      </w:r>
      <w:r w:rsidR="00671DB6">
        <w:rPr>
          <w:sz w:val="20"/>
        </w:rPr>
        <w:t>s</w:t>
      </w:r>
      <w:r w:rsidRPr="00356AA1">
        <w:rPr>
          <w:sz w:val="20"/>
        </w:rPr>
        <w:t xml:space="preserve"> o</w:t>
      </w:r>
      <w:r w:rsidR="00671DB6">
        <w:rPr>
          <w:sz w:val="20"/>
        </w:rPr>
        <w:t>n</w:t>
      </w:r>
      <w:r w:rsidRPr="00356AA1">
        <w:rPr>
          <w:sz w:val="20"/>
        </w:rPr>
        <w:t xml:space="preserve"> the costs of the</w:t>
      </w:r>
      <w:r w:rsidR="00561EDC">
        <w:rPr>
          <w:sz w:val="20"/>
        </w:rPr>
        <w:t>se</w:t>
      </w:r>
      <w:r w:rsidR="00561EDC" w:rsidRPr="00356AA1" w:rsidDel="00561EDC">
        <w:rPr>
          <w:sz w:val="20"/>
        </w:rPr>
        <w:t xml:space="preserve"> </w:t>
      </w:r>
      <w:r w:rsidRPr="00356AA1">
        <w:rPr>
          <w:sz w:val="20"/>
        </w:rPr>
        <w:t>program</w:t>
      </w:r>
      <w:r w:rsidR="00671DB6">
        <w:rPr>
          <w:sz w:val="20"/>
        </w:rPr>
        <w:t>me</w:t>
      </w:r>
      <w:r w:rsidRPr="00356AA1">
        <w:rPr>
          <w:sz w:val="20"/>
        </w:rPr>
        <w:t>s.</w:t>
      </w:r>
      <w:r w:rsidRPr="00671DB6">
        <w:rPr>
          <w:rStyle w:val="FootnoteReference"/>
          <w:szCs w:val="18"/>
        </w:rPr>
        <w:footnoteReference w:id="15"/>
      </w:r>
      <w:r w:rsidRPr="00356AA1">
        <w:rPr>
          <w:sz w:val="20"/>
        </w:rPr>
        <w:t xml:space="preserve"> The figure</w:t>
      </w:r>
      <w:r w:rsidR="00671DB6">
        <w:rPr>
          <w:sz w:val="20"/>
        </w:rPr>
        <w:t>s would</w:t>
      </w:r>
      <w:r w:rsidRPr="00356AA1">
        <w:rPr>
          <w:sz w:val="20"/>
        </w:rPr>
        <w:t xml:space="preserve">, however, not be low; for the </w:t>
      </w:r>
      <w:r w:rsidR="00671DB6" w:rsidRPr="0015180D">
        <w:rPr>
          <w:sz w:val="20"/>
        </w:rPr>
        <w:t>period</w:t>
      </w:r>
      <w:r w:rsidR="00671DB6" w:rsidRPr="00671DB6">
        <w:rPr>
          <w:sz w:val="20"/>
        </w:rPr>
        <w:t xml:space="preserve"> </w:t>
      </w:r>
      <w:r w:rsidRPr="00356AA1">
        <w:rPr>
          <w:sz w:val="20"/>
        </w:rPr>
        <w:t xml:space="preserve">2013-2017, the Victims and Survivors Service alone was assigned a </w:t>
      </w:r>
      <w:r w:rsidR="00671DB6" w:rsidRPr="00903738">
        <w:rPr>
          <w:sz w:val="20"/>
        </w:rPr>
        <w:t>budget</w:t>
      </w:r>
      <w:r w:rsidR="00671DB6" w:rsidRPr="00671DB6">
        <w:rPr>
          <w:sz w:val="20"/>
        </w:rPr>
        <w:t xml:space="preserve"> </w:t>
      </w:r>
      <w:r w:rsidR="00671DB6">
        <w:rPr>
          <w:sz w:val="20"/>
        </w:rPr>
        <w:t xml:space="preserve">of </w:t>
      </w:r>
      <w:r w:rsidRPr="00356AA1">
        <w:rPr>
          <w:sz w:val="20"/>
        </w:rPr>
        <w:t>£50 million.</w:t>
      </w:r>
      <w:r w:rsidR="00781044">
        <w:rPr>
          <w:sz w:val="20"/>
        </w:rPr>
        <w:t xml:space="preserve"> </w:t>
      </w:r>
    </w:p>
    <w:p w:rsidR="00FF4737" w:rsidRPr="00356AA1" w:rsidRDefault="00BD6BB6">
      <w:pPr>
        <w:pStyle w:val="SingleTxtG"/>
        <w:rPr>
          <w:sz w:val="20"/>
        </w:rPr>
      </w:pPr>
      <w:r w:rsidRPr="00356AA1">
        <w:rPr>
          <w:sz w:val="20"/>
        </w:rPr>
        <w:t>6</w:t>
      </w:r>
      <w:r w:rsidR="00781044">
        <w:rPr>
          <w:sz w:val="20"/>
        </w:rPr>
        <w:t>2</w:t>
      </w:r>
      <w:r w:rsidRPr="00356AA1">
        <w:rPr>
          <w:sz w:val="20"/>
        </w:rPr>
        <w:t>.</w:t>
      </w:r>
      <w:r w:rsidRPr="00356AA1">
        <w:rPr>
          <w:sz w:val="20"/>
        </w:rPr>
        <w:tab/>
      </w:r>
      <w:r w:rsidR="00A217A5" w:rsidRPr="00356AA1">
        <w:rPr>
          <w:sz w:val="20"/>
        </w:rPr>
        <w:t xml:space="preserve">The </w:t>
      </w:r>
      <w:r w:rsidRPr="00356AA1">
        <w:rPr>
          <w:sz w:val="20"/>
        </w:rPr>
        <w:t xml:space="preserve">Government </w:t>
      </w:r>
      <w:r w:rsidR="00A217A5" w:rsidRPr="00356AA1">
        <w:rPr>
          <w:sz w:val="20"/>
        </w:rPr>
        <w:t xml:space="preserve">of Northern Ireland </w:t>
      </w:r>
      <w:r w:rsidRPr="00356AA1">
        <w:rPr>
          <w:sz w:val="20"/>
        </w:rPr>
        <w:t xml:space="preserve">continues to experiment with institutional infrastructure that would improve responses to victims. The Commission for Victims and Survivors was established in May 2008 to advise </w:t>
      </w:r>
      <w:r w:rsidR="00671DB6" w:rsidRPr="004D67B7">
        <w:rPr>
          <w:sz w:val="20"/>
        </w:rPr>
        <w:t xml:space="preserve">(with input from a </w:t>
      </w:r>
      <w:r w:rsidR="00671DB6">
        <w:rPr>
          <w:sz w:val="20"/>
        </w:rPr>
        <w:t>v</w:t>
      </w:r>
      <w:r w:rsidR="00671DB6" w:rsidRPr="004D67B7">
        <w:rPr>
          <w:sz w:val="20"/>
        </w:rPr>
        <w:t>ictims</w:t>
      </w:r>
      <w:r w:rsidR="00671DB6">
        <w:rPr>
          <w:sz w:val="20"/>
        </w:rPr>
        <w:t>’</w:t>
      </w:r>
      <w:r w:rsidR="00671DB6" w:rsidRPr="004D67B7">
        <w:rPr>
          <w:sz w:val="20"/>
        </w:rPr>
        <w:t xml:space="preserve"> and </w:t>
      </w:r>
      <w:r w:rsidR="00671DB6">
        <w:rPr>
          <w:sz w:val="20"/>
        </w:rPr>
        <w:t>s</w:t>
      </w:r>
      <w:r w:rsidR="00671DB6" w:rsidRPr="004D67B7">
        <w:rPr>
          <w:sz w:val="20"/>
        </w:rPr>
        <w:t>urvivors</w:t>
      </w:r>
      <w:r w:rsidR="00671DB6">
        <w:rPr>
          <w:sz w:val="20"/>
        </w:rPr>
        <w:t>’</w:t>
      </w:r>
      <w:r w:rsidR="00671DB6" w:rsidRPr="004D67B7">
        <w:rPr>
          <w:sz w:val="20"/>
        </w:rPr>
        <w:t xml:space="preserve"> </w:t>
      </w:r>
      <w:r w:rsidR="00671DB6">
        <w:rPr>
          <w:sz w:val="20"/>
        </w:rPr>
        <w:t>f</w:t>
      </w:r>
      <w:r w:rsidR="00671DB6" w:rsidRPr="004D67B7">
        <w:rPr>
          <w:sz w:val="20"/>
        </w:rPr>
        <w:t>orum)</w:t>
      </w:r>
      <w:r w:rsidR="00671DB6">
        <w:rPr>
          <w:sz w:val="20"/>
        </w:rPr>
        <w:t xml:space="preserve"> </w:t>
      </w:r>
      <w:r w:rsidRPr="00356AA1">
        <w:rPr>
          <w:sz w:val="20"/>
        </w:rPr>
        <w:t>the Executive Office on comprehensive responses to the needs of victims</w:t>
      </w:r>
      <w:r w:rsidR="00BD28EC" w:rsidRPr="00356AA1">
        <w:rPr>
          <w:sz w:val="20"/>
        </w:rPr>
        <w:t xml:space="preserve">. </w:t>
      </w:r>
      <w:r w:rsidRPr="00356AA1">
        <w:rPr>
          <w:sz w:val="20"/>
        </w:rPr>
        <w:t>The operational delivery vehicle is the Victims and Survivors Service, established in 2012 as an arms-length body to administer funding to support groups</w:t>
      </w:r>
      <w:r w:rsidR="00671DB6" w:rsidRPr="00671DB6">
        <w:rPr>
          <w:sz w:val="20"/>
        </w:rPr>
        <w:t xml:space="preserve"> </w:t>
      </w:r>
      <w:r w:rsidR="00671DB6">
        <w:rPr>
          <w:sz w:val="20"/>
        </w:rPr>
        <w:t xml:space="preserve">for </w:t>
      </w:r>
      <w:r w:rsidR="00671DB6" w:rsidRPr="000E38C4">
        <w:rPr>
          <w:sz w:val="20"/>
        </w:rPr>
        <w:t>victims</w:t>
      </w:r>
      <w:r w:rsidR="00671DB6">
        <w:rPr>
          <w:sz w:val="20"/>
        </w:rPr>
        <w:t xml:space="preserve"> and </w:t>
      </w:r>
      <w:r w:rsidR="00671DB6" w:rsidRPr="000E38C4">
        <w:rPr>
          <w:sz w:val="20"/>
        </w:rPr>
        <w:t>survivors</w:t>
      </w:r>
      <w:r w:rsidR="00671DB6">
        <w:rPr>
          <w:sz w:val="20"/>
        </w:rPr>
        <w:t>,</w:t>
      </w:r>
      <w:r w:rsidRPr="00356AA1">
        <w:rPr>
          <w:sz w:val="20"/>
        </w:rPr>
        <w:t xml:space="preserve"> and </w:t>
      </w:r>
      <w:r w:rsidR="00671DB6">
        <w:rPr>
          <w:sz w:val="20"/>
        </w:rPr>
        <w:t xml:space="preserve">to </w:t>
      </w:r>
      <w:r w:rsidRPr="00356AA1">
        <w:rPr>
          <w:sz w:val="20"/>
        </w:rPr>
        <w:t>deliver financial assistance, services and other support to individual victims and survivors.</w:t>
      </w:r>
      <w:r w:rsidRPr="00671DB6">
        <w:rPr>
          <w:rStyle w:val="FootnoteReference"/>
          <w:szCs w:val="18"/>
        </w:rPr>
        <w:footnoteReference w:id="16"/>
      </w:r>
      <w:r w:rsidR="00781044">
        <w:rPr>
          <w:sz w:val="20"/>
        </w:rPr>
        <w:t xml:space="preserve"> </w:t>
      </w:r>
    </w:p>
    <w:p w:rsidR="00FF4737" w:rsidRPr="00356AA1" w:rsidRDefault="00BD6BB6">
      <w:pPr>
        <w:pStyle w:val="SingleTxtG"/>
        <w:rPr>
          <w:sz w:val="20"/>
        </w:rPr>
      </w:pPr>
      <w:r w:rsidRPr="00356AA1">
        <w:rPr>
          <w:sz w:val="20"/>
        </w:rPr>
        <w:t>6</w:t>
      </w:r>
      <w:r w:rsidR="0042434E">
        <w:rPr>
          <w:sz w:val="20"/>
        </w:rPr>
        <w:t>3</w:t>
      </w:r>
      <w:r w:rsidRPr="00356AA1">
        <w:rPr>
          <w:sz w:val="20"/>
        </w:rPr>
        <w:t>.</w:t>
      </w:r>
      <w:r w:rsidRPr="00356AA1">
        <w:rPr>
          <w:sz w:val="20"/>
        </w:rPr>
        <w:tab/>
        <w:t>After a stormy period</w:t>
      </w:r>
      <w:r w:rsidR="00671DB6">
        <w:rPr>
          <w:sz w:val="20"/>
        </w:rPr>
        <w:t>, characterized by a frequent</w:t>
      </w:r>
      <w:r w:rsidRPr="00356AA1">
        <w:rPr>
          <w:sz w:val="20"/>
        </w:rPr>
        <w:t xml:space="preserve"> turnover of commissioners, the Commission </w:t>
      </w:r>
      <w:r w:rsidR="00671DB6" w:rsidRPr="00E1620C">
        <w:rPr>
          <w:sz w:val="20"/>
        </w:rPr>
        <w:t xml:space="preserve">has </w:t>
      </w:r>
      <w:r w:rsidRPr="00356AA1">
        <w:rPr>
          <w:sz w:val="20"/>
        </w:rPr>
        <w:t xml:space="preserve">recently spent considerable time and effort </w:t>
      </w:r>
      <w:r w:rsidR="00671DB6">
        <w:rPr>
          <w:sz w:val="20"/>
        </w:rPr>
        <w:t xml:space="preserve">in </w:t>
      </w:r>
      <w:r w:rsidRPr="00356AA1">
        <w:rPr>
          <w:sz w:val="20"/>
        </w:rPr>
        <w:t xml:space="preserve">building confidence among its main constituencies and addressing queries about the operation, practices and neutrality of the </w:t>
      </w:r>
      <w:r w:rsidR="00671DB6" w:rsidRPr="00DA73A6">
        <w:rPr>
          <w:sz w:val="20"/>
        </w:rPr>
        <w:t>Victims and Survivors Service</w:t>
      </w:r>
      <w:r w:rsidRPr="00356AA1">
        <w:rPr>
          <w:sz w:val="20"/>
        </w:rPr>
        <w:t>.</w:t>
      </w:r>
      <w:r w:rsidR="00781044">
        <w:rPr>
          <w:sz w:val="20"/>
        </w:rPr>
        <w:t xml:space="preserve"> </w:t>
      </w:r>
    </w:p>
    <w:p w:rsidR="00FF4737" w:rsidRPr="00356AA1" w:rsidRDefault="00BD6BB6">
      <w:pPr>
        <w:pStyle w:val="SingleTxtG"/>
        <w:rPr>
          <w:rFonts w:cs="Arial"/>
          <w:color w:val="000000"/>
          <w:sz w:val="20"/>
          <w:lang w:eastAsia="en-GB"/>
        </w:rPr>
      </w:pPr>
      <w:r w:rsidRPr="00356AA1">
        <w:rPr>
          <w:sz w:val="20"/>
        </w:rPr>
        <w:t>6</w:t>
      </w:r>
      <w:r w:rsidR="0042434E">
        <w:rPr>
          <w:sz w:val="20"/>
        </w:rPr>
        <w:t>4</w:t>
      </w:r>
      <w:r w:rsidRPr="00356AA1">
        <w:rPr>
          <w:sz w:val="20"/>
        </w:rPr>
        <w:t>.</w:t>
      </w:r>
      <w:r w:rsidRPr="00356AA1">
        <w:rPr>
          <w:sz w:val="20"/>
        </w:rPr>
        <w:tab/>
        <w:t xml:space="preserve">Still, significant challenges remain. Even </w:t>
      </w:r>
      <w:r w:rsidR="00577442">
        <w:rPr>
          <w:sz w:val="20"/>
        </w:rPr>
        <w:t>within</w:t>
      </w:r>
      <w:r w:rsidR="00577442" w:rsidRPr="00356AA1">
        <w:rPr>
          <w:sz w:val="20"/>
        </w:rPr>
        <w:t xml:space="preserve"> </w:t>
      </w:r>
      <w:r w:rsidRPr="00356AA1">
        <w:rPr>
          <w:sz w:val="20"/>
        </w:rPr>
        <w:t xml:space="preserve">the limited aims of </w:t>
      </w:r>
      <w:r w:rsidR="00577442">
        <w:rPr>
          <w:sz w:val="20"/>
        </w:rPr>
        <w:t xml:space="preserve">the </w:t>
      </w:r>
      <w:r w:rsidRPr="00356AA1">
        <w:rPr>
          <w:sz w:val="20"/>
        </w:rPr>
        <w:t>compensation and service schemes</w:t>
      </w:r>
      <w:r w:rsidR="00671DB6" w:rsidRPr="00671DB6">
        <w:rPr>
          <w:sz w:val="20"/>
        </w:rPr>
        <w:t xml:space="preserve"> </w:t>
      </w:r>
      <w:r w:rsidR="00671DB6">
        <w:rPr>
          <w:sz w:val="20"/>
        </w:rPr>
        <w:t xml:space="preserve">in </w:t>
      </w:r>
      <w:r w:rsidR="00671DB6" w:rsidRPr="00BC205E">
        <w:rPr>
          <w:sz w:val="20"/>
        </w:rPr>
        <w:t>Northern Ireland</w:t>
      </w:r>
      <w:r w:rsidRPr="00356AA1">
        <w:rPr>
          <w:sz w:val="20"/>
        </w:rPr>
        <w:t xml:space="preserve">, concerns about </w:t>
      </w:r>
      <w:r w:rsidR="00521657">
        <w:rPr>
          <w:sz w:val="20"/>
        </w:rPr>
        <w:t xml:space="preserve">the </w:t>
      </w:r>
      <w:r w:rsidRPr="00356AA1">
        <w:rPr>
          <w:sz w:val="20"/>
        </w:rPr>
        <w:t xml:space="preserve">equitable treatment of victims persist beyond </w:t>
      </w:r>
      <w:r w:rsidR="00577442">
        <w:rPr>
          <w:sz w:val="20"/>
        </w:rPr>
        <w:t xml:space="preserve">a </w:t>
      </w:r>
      <w:r w:rsidRPr="00356AA1">
        <w:rPr>
          <w:sz w:val="20"/>
        </w:rPr>
        <w:t>compari</w:t>
      </w:r>
      <w:r w:rsidR="00577442">
        <w:rPr>
          <w:sz w:val="20"/>
        </w:rPr>
        <w:t>son</w:t>
      </w:r>
      <w:r w:rsidRPr="00356AA1">
        <w:rPr>
          <w:sz w:val="20"/>
        </w:rPr>
        <w:t xml:space="preserve"> </w:t>
      </w:r>
      <w:r w:rsidR="00577442">
        <w:rPr>
          <w:sz w:val="20"/>
        </w:rPr>
        <w:t xml:space="preserve">of </w:t>
      </w:r>
      <w:r w:rsidRPr="00356AA1">
        <w:rPr>
          <w:sz w:val="20"/>
        </w:rPr>
        <w:t xml:space="preserve">benefits offered to former service men and their families </w:t>
      </w:r>
      <w:r w:rsidR="00521657">
        <w:rPr>
          <w:sz w:val="20"/>
        </w:rPr>
        <w:t xml:space="preserve">as opposed to those for </w:t>
      </w:r>
      <w:r w:rsidRPr="00356AA1">
        <w:rPr>
          <w:sz w:val="20"/>
        </w:rPr>
        <w:t>civilian victims. Even among civilian victims, significant inequalities exist</w:t>
      </w:r>
      <w:r w:rsidR="00577442">
        <w:rPr>
          <w:sz w:val="20"/>
        </w:rPr>
        <w:t>,</w:t>
      </w:r>
      <w:r w:rsidRPr="00356AA1">
        <w:rPr>
          <w:sz w:val="20"/>
        </w:rPr>
        <w:t xml:space="preserve"> since </w:t>
      </w:r>
      <w:r w:rsidR="00577442">
        <w:rPr>
          <w:sz w:val="20"/>
        </w:rPr>
        <w:t xml:space="preserve">the </w:t>
      </w:r>
      <w:r w:rsidRPr="00356AA1">
        <w:rPr>
          <w:sz w:val="20"/>
        </w:rPr>
        <w:t xml:space="preserve">benefits </w:t>
      </w:r>
      <w:r w:rsidR="00577442">
        <w:rPr>
          <w:sz w:val="20"/>
        </w:rPr>
        <w:t>offered by</w:t>
      </w:r>
      <w:r w:rsidRPr="00356AA1">
        <w:rPr>
          <w:sz w:val="20"/>
        </w:rPr>
        <w:t xml:space="preserve"> different schemes have varied over time</w:t>
      </w:r>
      <w:r w:rsidR="00577442">
        <w:rPr>
          <w:sz w:val="20"/>
        </w:rPr>
        <w:t>, while</w:t>
      </w:r>
      <w:r w:rsidRPr="00356AA1">
        <w:rPr>
          <w:sz w:val="20"/>
        </w:rPr>
        <w:t xml:space="preserve"> </w:t>
      </w:r>
      <w:r w:rsidR="00577442">
        <w:rPr>
          <w:sz w:val="20"/>
        </w:rPr>
        <w:t>“</w:t>
      </w:r>
      <w:r w:rsidRPr="00356AA1">
        <w:rPr>
          <w:sz w:val="20"/>
        </w:rPr>
        <w:t>top off</w:t>
      </w:r>
      <w:r w:rsidR="00577442">
        <w:rPr>
          <w:sz w:val="20"/>
        </w:rPr>
        <w:t>”</w:t>
      </w:r>
      <w:r w:rsidRPr="00356AA1">
        <w:rPr>
          <w:sz w:val="20"/>
        </w:rPr>
        <w:t xml:space="preserve"> equalizing benefits have become contentious.</w:t>
      </w:r>
    </w:p>
    <w:p w:rsidR="00FF4737" w:rsidRPr="00356AA1" w:rsidRDefault="00BD6BB6">
      <w:pPr>
        <w:pStyle w:val="SingleTxtG"/>
        <w:rPr>
          <w:rFonts w:cs="Arial"/>
          <w:color w:val="000000"/>
          <w:sz w:val="20"/>
          <w:lang w:eastAsia="en-GB"/>
        </w:rPr>
      </w:pPr>
      <w:r w:rsidRPr="00356AA1">
        <w:rPr>
          <w:rFonts w:cs="Arial"/>
          <w:color w:val="000000"/>
          <w:sz w:val="20"/>
          <w:lang w:eastAsia="en-GB"/>
        </w:rPr>
        <w:t>6</w:t>
      </w:r>
      <w:r w:rsidR="0042434E">
        <w:rPr>
          <w:rFonts w:cs="Arial"/>
          <w:color w:val="000000"/>
          <w:sz w:val="20"/>
          <w:lang w:eastAsia="en-GB"/>
        </w:rPr>
        <w:t>5</w:t>
      </w:r>
      <w:r w:rsidRPr="00356AA1">
        <w:rPr>
          <w:rFonts w:cs="Arial"/>
          <w:color w:val="000000"/>
          <w:sz w:val="20"/>
          <w:lang w:eastAsia="en-GB"/>
        </w:rPr>
        <w:t>.</w:t>
      </w:r>
      <w:r w:rsidRPr="00356AA1">
        <w:rPr>
          <w:rFonts w:cs="Arial"/>
          <w:color w:val="000000"/>
          <w:sz w:val="20"/>
          <w:lang w:eastAsia="en-GB"/>
        </w:rPr>
        <w:tab/>
        <w:t>There is inequity in the kind and quality of services available to people in different areas of the jurisdiction</w:t>
      </w:r>
      <w:r w:rsidR="00577442">
        <w:rPr>
          <w:rFonts w:cs="Arial"/>
          <w:color w:val="000000"/>
          <w:sz w:val="20"/>
          <w:lang w:eastAsia="en-GB"/>
        </w:rPr>
        <w:t>;</w:t>
      </w:r>
      <w:r w:rsidRPr="00356AA1">
        <w:rPr>
          <w:rFonts w:cs="Arial"/>
          <w:color w:val="000000"/>
          <w:sz w:val="20"/>
          <w:lang w:eastAsia="en-GB"/>
        </w:rPr>
        <w:t xml:space="preserve"> </w:t>
      </w:r>
      <w:r w:rsidR="00577442">
        <w:rPr>
          <w:rFonts w:cs="Arial"/>
          <w:color w:val="000000"/>
          <w:sz w:val="20"/>
          <w:lang w:eastAsia="en-GB"/>
        </w:rPr>
        <w:t xml:space="preserve">for example, </w:t>
      </w:r>
      <w:r w:rsidRPr="00356AA1">
        <w:rPr>
          <w:rFonts w:cs="Arial"/>
          <w:color w:val="000000"/>
          <w:sz w:val="20"/>
          <w:lang w:eastAsia="en-GB"/>
        </w:rPr>
        <w:t xml:space="preserve">some services, </w:t>
      </w:r>
      <w:r w:rsidR="00577442">
        <w:rPr>
          <w:rFonts w:cs="Arial"/>
          <w:color w:val="000000"/>
          <w:sz w:val="20"/>
          <w:lang w:eastAsia="en-GB"/>
        </w:rPr>
        <w:t xml:space="preserve">such as </w:t>
      </w:r>
      <w:r w:rsidRPr="00356AA1">
        <w:rPr>
          <w:rFonts w:cs="Arial"/>
          <w:color w:val="000000"/>
          <w:sz w:val="20"/>
          <w:lang w:eastAsia="en-GB"/>
        </w:rPr>
        <w:t xml:space="preserve">counselling and some </w:t>
      </w:r>
      <w:r w:rsidR="00577442">
        <w:rPr>
          <w:rFonts w:cs="Arial"/>
          <w:color w:val="000000"/>
          <w:sz w:val="20"/>
          <w:lang w:eastAsia="en-GB"/>
        </w:rPr>
        <w:t xml:space="preserve">forms of </w:t>
      </w:r>
      <w:r w:rsidRPr="00356AA1">
        <w:rPr>
          <w:rFonts w:cs="Arial"/>
          <w:color w:val="000000"/>
          <w:sz w:val="20"/>
          <w:lang w:eastAsia="en-GB"/>
        </w:rPr>
        <w:t xml:space="preserve">specialized health treatment, </w:t>
      </w:r>
      <w:r w:rsidR="00577442">
        <w:rPr>
          <w:rFonts w:cs="Arial"/>
          <w:color w:val="000000"/>
          <w:sz w:val="20"/>
          <w:lang w:eastAsia="en-GB"/>
        </w:rPr>
        <w:t xml:space="preserve">are </w:t>
      </w:r>
      <w:r w:rsidRPr="00356AA1">
        <w:rPr>
          <w:rFonts w:cs="Arial"/>
          <w:color w:val="000000"/>
          <w:sz w:val="20"/>
          <w:lang w:eastAsia="en-GB"/>
        </w:rPr>
        <w:t xml:space="preserve">concentrated in urban areas. </w:t>
      </w:r>
    </w:p>
    <w:p w:rsidR="00FF4737" w:rsidRPr="00356AA1" w:rsidRDefault="00BD6BB6">
      <w:pPr>
        <w:pStyle w:val="SingleTxtG"/>
        <w:rPr>
          <w:rFonts w:cs="Arial"/>
          <w:color w:val="000000"/>
          <w:sz w:val="20"/>
          <w:lang w:eastAsia="en-GB"/>
        </w:rPr>
      </w:pPr>
      <w:r w:rsidRPr="00356AA1">
        <w:rPr>
          <w:rFonts w:cs="Arial"/>
          <w:color w:val="000000"/>
          <w:sz w:val="20"/>
          <w:lang w:eastAsia="en-GB"/>
        </w:rPr>
        <w:t>6</w:t>
      </w:r>
      <w:r w:rsidR="0042434E">
        <w:rPr>
          <w:rFonts w:cs="Arial"/>
          <w:color w:val="000000"/>
          <w:sz w:val="20"/>
          <w:lang w:eastAsia="en-GB"/>
        </w:rPr>
        <w:t>6</w:t>
      </w:r>
      <w:r w:rsidRPr="00356AA1">
        <w:rPr>
          <w:rFonts w:cs="Arial"/>
          <w:color w:val="000000"/>
          <w:sz w:val="20"/>
          <w:lang w:eastAsia="en-GB"/>
        </w:rPr>
        <w:t>.</w:t>
      </w:r>
      <w:r w:rsidRPr="00356AA1">
        <w:rPr>
          <w:rFonts w:cs="Arial"/>
          <w:color w:val="000000"/>
          <w:sz w:val="20"/>
          <w:lang w:eastAsia="en-GB"/>
        </w:rPr>
        <w:tab/>
        <w:t xml:space="preserve">Beyond questions of equity, </w:t>
      </w:r>
      <w:r w:rsidR="00A217A5" w:rsidRPr="00356AA1">
        <w:rPr>
          <w:sz w:val="20"/>
        </w:rPr>
        <w:t xml:space="preserve">Northern Ireland </w:t>
      </w:r>
      <w:r w:rsidRPr="00356AA1">
        <w:rPr>
          <w:rFonts w:cs="Arial"/>
          <w:color w:val="000000"/>
          <w:sz w:val="20"/>
          <w:lang w:eastAsia="en-GB"/>
        </w:rPr>
        <w:t xml:space="preserve">has ended up with a </w:t>
      </w:r>
      <w:r w:rsidR="00577442" w:rsidRPr="002F0BB2">
        <w:rPr>
          <w:rFonts w:cs="Arial"/>
          <w:color w:val="000000"/>
          <w:sz w:val="20"/>
          <w:lang w:eastAsia="en-GB"/>
        </w:rPr>
        <w:t>service</w:t>
      </w:r>
      <w:r w:rsidR="00577442">
        <w:rPr>
          <w:rFonts w:cs="Arial"/>
          <w:color w:val="000000"/>
          <w:sz w:val="20"/>
          <w:lang w:eastAsia="en-GB"/>
        </w:rPr>
        <w:t>s</w:t>
      </w:r>
      <w:r w:rsidR="00577442" w:rsidRPr="002F0BB2">
        <w:rPr>
          <w:rFonts w:cs="Arial"/>
          <w:color w:val="000000"/>
          <w:sz w:val="20"/>
          <w:lang w:eastAsia="en-GB"/>
        </w:rPr>
        <w:t xml:space="preserve"> </w:t>
      </w:r>
      <w:r w:rsidRPr="00356AA1">
        <w:rPr>
          <w:rFonts w:cs="Arial"/>
          <w:color w:val="000000"/>
          <w:sz w:val="20"/>
          <w:lang w:eastAsia="en-GB"/>
        </w:rPr>
        <w:t>model that works largely through organizations closely tied to the communities of origin</w:t>
      </w:r>
      <w:r w:rsidR="00577442" w:rsidRPr="00577442">
        <w:rPr>
          <w:rFonts w:cs="Arial"/>
          <w:color w:val="000000"/>
          <w:sz w:val="20"/>
          <w:lang w:eastAsia="en-GB"/>
        </w:rPr>
        <w:t xml:space="preserve"> </w:t>
      </w:r>
      <w:r w:rsidR="00577442">
        <w:rPr>
          <w:rFonts w:cs="Arial"/>
          <w:color w:val="000000"/>
          <w:sz w:val="20"/>
          <w:lang w:eastAsia="en-GB"/>
        </w:rPr>
        <w:t xml:space="preserve">of </w:t>
      </w:r>
      <w:r w:rsidR="00577442" w:rsidRPr="009534C9">
        <w:rPr>
          <w:rFonts w:cs="Arial"/>
          <w:color w:val="000000"/>
          <w:sz w:val="20"/>
          <w:lang w:eastAsia="en-GB"/>
        </w:rPr>
        <w:t>beneficiaries</w:t>
      </w:r>
      <w:r w:rsidRPr="00356AA1">
        <w:rPr>
          <w:rFonts w:cs="Arial"/>
          <w:color w:val="000000"/>
          <w:sz w:val="20"/>
          <w:lang w:eastAsia="en-GB"/>
        </w:rPr>
        <w:t xml:space="preserve">. While </w:t>
      </w:r>
      <w:r w:rsidR="00577442">
        <w:rPr>
          <w:rFonts w:cs="Arial"/>
          <w:color w:val="000000"/>
          <w:sz w:val="20"/>
          <w:lang w:eastAsia="en-GB"/>
        </w:rPr>
        <w:t xml:space="preserve">the </w:t>
      </w:r>
      <w:r w:rsidRPr="00356AA1">
        <w:rPr>
          <w:rFonts w:cs="Arial"/>
          <w:color w:val="000000"/>
          <w:sz w:val="20"/>
          <w:lang w:eastAsia="en-GB"/>
        </w:rPr>
        <w:t xml:space="preserve">initial reasons for </w:t>
      </w:r>
      <w:r w:rsidR="00577442">
        <w:rPr>
          <w:rFonts w:cs="Arial"/>
          <w:color w:val="000000"/>
          <w:sz w:val="20"/>
          <w:lang w:eastAsia="en-GB"/>
        </w:rPr>
        <w:t>such an arrangement</w:t>
      </w:r>
      <w:r w:rsidRPr="00356AA1">
        <w:rPr>
          <w:rFonts w:cs="Arial"/>
          <w:color w:val="000000"/>
          <w:sz w:val="20"/>
          <w:lang w:eastAsia="en-GB"/>
        </w:rPr>
        <w:t xml:space="preserve"> were understandable (</w:t>
      </w:r>
      <w:r w:rsidR="00577442">
        <w:rPr>
          <w:rFonts w:cs="Arial"/>
          <w:color w:val="000000"/>
          <w:sz w:val="20"/>
          <w:lang w:eastAsia="en-GB"/>
        </w:rPr>
        <w:t xml:space="preserve">in </w:t>
      </w:r>
      <w:r w:rsidR="00577442">
        <w:rPr>
          <w:rFonts w:cs="Arial"/>
          <w:color w:val="000000"/>
          <w:sz w:val="20"/>
          <w:lang w:eastAsia="en-GB"/>
        </w:rPr>
        <w:lastRenderedPageBreak/>
        <w:t>particular the general lack of trust that characterized the post-</w:t>
      </w:r>
      <w:r w:rsidR="00577442" w:rsidRPr="00577442" w:rsidDel="00577442">
        <w:rPr>
          <w:rFonts w:cs="Arial"/>
          <w:color w:val="000000"/>
          <w:sz w:val="20"/>
          <w:lang w:eastAsia="en-GB"/>
        </w:rPr>
        <w:t xml:space="preserve"> </w:t>
      </w:r>
      <w:r w:rsidRPr="00356AA1">
        <w:rPr>
          <w:rFonts w:cs="Arial"/>
          <w:color w:val="000000"/>
          <w:sz w:val="20"/>
          <w:lang w:eastAsia="en-GB"/>
        </w:rPr>
        <w:t>conflict</w:t>
      </w:r>
      <w:r w:rsidR="00577442">
        <w:rPr>
          <w:rFonts w:cs="Arial"/>
          <w:color w:val="000000"/>
          <w:sz w:val="20"/>
          <w:lang w:eastAsia="en-GB"/>
        </w:rPr>
        <w:t xml:space="preserve"> period</w:t>
      </w:r>
      <w:r w:rsidRPr="00356AA1">
        <w:rPr>
          <w:rFonts w:cs="Arial"/>
          <w:color w:val="000000"/>
          <w:sz w:val="20"/>
          <w:lang w:eastAsia="en-GB"/>
        </w:rPr>
        <w:t xml:space="preserve">), this model risks forming constituencies and </w:t>
      </w:r>
      <w:r w:rsidR="00577442">
        <w:rPr>
          <w:rFonts w:cs="Arial"/>
          <w:color w:val="000000"/>
          <w:sz w:val="20"/>
          <w:lang w:eastAsia="en-GB"/>
        </w:rPr>
        <w:t>consolidating</w:t>
      </w:r>
      <w:r w:rsidR="00577442" w:rsidRPr="00356AA1">
        <w:rPr>
          <w:rFonts w:cs="Arial"/>
          <w:color w:val="000000"/>
          <w:sz w:val="20"/>
          <w:lang w:eastAsia="en-GB"/>
        </w:rPr>
        <w:t xml:space="preserve"> </w:t>
      </w:r>
      <w:r w:rsidRPr="00356AA1">
        <w:rPr>
          <w:rFonts w:cs="Arial"/>
          <w:color w:val="000000"/>
          <w:sz w:val="20"/>
          <w:lang w:eastAsia="en-GB"/>
        </w:rPr>
        <w:t xml:space="preserve">identities in ways that </w:t>
      </w:r>
      <w:r w:rsidR="00577442">
        <w:rPr>
          <w:rFonts w:cs="Arial"/>
          <w:color w:val="000000"/>
          <w:sz w:val="20"/>
          <w:lang w:eastAsia="en-GB"/>
        </w:rPr>
        <w:t>hew</w:t>
      </w:r>
      <w:r w:rsidR="00577442" w:rsidRPr="00356AA1">
        <w:rPr>
          <w:rFonts w:cs="Arial"/>
          <w:color w:val="000000"/>
          <w:sz w:val="20"/>
          <w:lang w:eastAsia="en-GB"/>
        </w:rPr>
        <w:t xml:space="preserve"> </w:t>
      </w:r>
      <w:r w:rsidRPr="00356AA1">
        <w:rPr>
          <w:rFonts w:cs="Arial"/>
          <w:color w:val="000000"/>
          <w:sz w:val="20"/>
          <w:lang w:eastAsia="en-GB"/>
        </w:rPr>
        <w:t>closely</w:t>
      </w:r>
      <w:r w:rsidR="00577442">
        <w:rPr>
          <w:rFonts w:cs="Arial"/>
          <w:color w:val="000000"/>
          <w:sz w:val="20"/>
          <w:lang w:eastAsia="en-GB"/>
        </w:rPr>
        <w:t xml:space="preserve"> to</w:t>
      </w:r>
      <w:r w:rsidRPr="00356AA1">
        <w:rPr>
          <w:rFonts w:cs="Arial"/>
          <w:color w:val="000000"/>
          <w:sz w:val="20"/>
          <w:lang w:eastAsia="en-GB"/>
        </w:rPr>
        <w:t xml:space="preserve"> the divides around which the conflict was fought. </w:t>
      </w:r>
      <w:r w:rsidR="00577442">
        <w:rPr>
          <w:rFonts w:cs="Arial"/>
          <w:color w:val="000000"/>
          <w:sz w:val="20"/>
          <w:lang w:eastAsia="en-GB"/>
        </w:rPr>
        <w:t xml:space="preserve">The provision of </w:t>
      </w:r>
      <w:r w:rsidRPr="00356AA1">
        <w:rPr>
          <w:rFonts w:cs="Arial"/>
          <w:color w:val="000000"/>
          <w:sz w:val="20"/>
          <w:lang w:eastAsia="en-GB"/>
        </w:rPr>
        <w:t>service</w:t>
      </w:r>
      <w:r w:rsidR="00577442">
        <w:rPr>
          <w:rFonts w:cs="Arial"/>
          <w:color w:val="000000"/>
          <w:sz w:val="20"/>
          <w:lang w:eastAsia="en-GB"/>
        </w:rPr>
        <w:t>s</w:t>
      </w:r>
      <w:r w:rsidRPr="00356AA1">
        <w:rPr>
          <w:rFonts w:cs="Arial"/>
          <w:color w:val="000000"/>
          <w:sz w:val="20"/>
          <w:lang w:eastAsia="en-GB"/>
        </w:rPr>
        <w:t xml:space="preserve"> should have been structured in </w:t>
      </w:r>
      <w:r w:rsidR="00577442">
        <w:rPr>
          <w:rFonts w:cs="Arial"/>
          <w:color w:val="000000"/>
          <w:sz w:val="20"/>
          <w:lang w:eastAsia="en-GB"/>
        </w:rPr>
        <w:t xml:space="preserve">a </w:t>
      </w:r>
      <w:r w:rsidRPr="00356AA1">
        <w:rPr>
          <w:rFonts w:cs="Arial"/>
          <w:color w:val="000000"/>
          <w:sz w:val="20"/>
          <w:lang w:eastAsia="en-GB"/>
        </w:rPr>
        <w:t>way that highlighted professional rather than identit</w:t>
      </w:r>
      <w:r w:rsidR="00577442">
        <w:rPr>
          <w:rFonts w:cs="Arial"/>
          <w:color w:val="000000"/>
          <w:sz w:val="20"/>
          <w:lang w:eastAsia="en-GB"/>
        </w:rPr>
        <w:t>y</w:t>
      </w:r>
      <w:r w:rsidRPr="00356AA1">
        <w:rPr>
          <w:rFonts w:cs="Arial"/>
          <w:color w:val="000000"/>
          <w:sz w:val="20"/>
          <w:lang w:eastAsia="en-GB"/>
        </w:rPr>
        <w:t xml:space="preserve"> criteria, and that at least prevented </w:t>
      </w:r>
      <w:r w:rsidR="00577442">
        <w:rPr>
          <w:rFonts w:cs="Arial"/>
          <w:color w:val="000000"/>
          <w:sz w:val="20"/>
          <w:lang w:eastAsia="en-GB"/>
        </w:rPr>
        <w:t xml:space="preserve">the </w:t>
      </w:r>
      <w:r w:rsidRPr="00356AA1">
        <w:rPr>
          <w:rFonts w:cs="Arial"/>
          <w:color w:val="000000"/>
          <w:sz w:val="20"/>
          <w:lang w:eastAsia="en-GB"/>
        </w:rPr>
        <w:t>formation of closed constituencies</w:t>
      </w:r>
      <w:r w:rsidR="00096E0F">
        <w:rPr>
          <w:rFonts w:cs="Arial"/>
          <w:color w:val="000000"/>
          <w:sz w:val="20"/>
          <w:lang w:eastAsia="en-GB"/>
        </w:rPr>
        <w:t>.</w:t>
      </w:r>
    </w:p>
    <w:p w:rsidR="00FF4737" w:rsidRPr="00356AA1" w:rsidRDefault="00BD6BB6">
      <w:pPr>
        <w:pStyle w:val="SingleTxtG"/>
        <w:rPr>
          <w:rFonts w:cs="Arial"/>
          <w:color w:val="000000"/>
          <w:sz w:val="20"/>
          <w:lang w:eastAsia="en-GB"/>
        </w:rPr>
      </w:pPr>
      <w:r w:rsidRPr="00356AA1">
        <w:rPr>
          <w:rFonts w:cs="Arial"/>
          <w:color w:val="000000"/>
          <w:sz w:val="20"/>
          <w:lang w:eastAsia="en-GB"/>
        </w:rPr>
        <w:t>6</w:t>
      </w:r>
      <w:r w:rsidR="0042434E">
        <w:rPr>
          <w:rFonts w:cs="Arial"/>
          <w:color w:val="000000"/>
          <w:sz w:val="20"/>
          <w:lang w:eastAsia="en-GB"/>
        </w:rPr>
        <w:t>7</w:t>
      </w:r>
      <w:r w:rsidRPr="00356AA1">
        <w:rPr>
          <w:rFonts w:cs="Arial"/>
          <w:color w:val="000000"/>
          <w:sz w:val="20"/>
          <w:lang w:eastAsia="en-GB"/>
        </w:rPr>
        <w:t>.</w:t>
      </w:r>
      <w:r w:rsidRPr="00356AA1">
        <w:rPr>
          <w:rFonts w:cs="Arial"/>
          <w:color w:val="000000"/>
          <w:sz w:val="20"/>
          <w:lang w:eastAsia="en-GB"/>
        </w:rPr>
        <w:tab/>
      </w:r>
      <w:r w:rsidR="00856361">
        <w:rPr>
          <w:rFonts w:cs="Arial"/>
          <w:color w:val="000000"/>
          <w:sz w:val="20"/>
          <w:lang w:eastAsia="en-GB"/>
        </w:rPr>
        <w:t xml:space="preserve">With regard to services, there is also a surprising dearth </w:t>
      </w:r>
      <w:r w:rsidRPr="00356AA1">
        <w:rPr>
          <w:rFonts w:cs="Arial"/>
          <w:color w:val="000000"/>
          <w:sz w:val="20"/>
          <w:lang w:eastAsia="en-GB"/>
        </w:rPr>
        <w:t xml:space="preserve">of systematic data </w:t>
      </w:r>
      <w:r w:rsidR="00856361">
        <w:rPr>
          <w:rFonts w:cs="Arial"/>
          <w:color w:val="000000"/>
          <w:sz w:val="20"/>
          <w:lang w:eastAsia="en-GB"/>
        </w:rPr>
        <w:t>on</w:t>
      </w:r>
      <w:r w:rsidRPr="00356AA1">
        <w:rPr>
          <w:rFonts w:cs="Arial"/>
          <w:color w:val="000000"/>
          <w:sz w:val="20"/>
          <w:lang w:eastAsia="en-GB"/>
        </w:rPr>
        <w:t xml:space="preserve"> patterns and trends</w:t>
      </w:r>
      <w:r w:rsidR="00856361">
        <w:rPr>
          <w:rFonts w:cs="Arial"/>
          <w:color w:val="000000"/>
          <w:sz w:val="20"/>
          <w:lang w:eastAsia="en-GB"/>
        </w:rPr>
        <w:t>, which</w:t>
      </w:r>
      <w:r w:rsidRPr="00356AA1">
        <w:rPr>
          <w:rFonts w:cs="Arial"/>
          <w:color w:val="000000"/>
          <w:sz w:val="20"/>
          <w:lang w:eastAsia="en-GB"/>
        </w:rPr>
        <w:t xml:space="preserve"> complicates immensely the implementation of </w:t>
      </w:r>
      <w:r w:rsidR="00856361" w:rsidRPr="002B73AE">
        <w:rPr>
          <w:rFonts w:cs="Arial"/>
          <w:color w:val="000000"/>
          <w:sz w:val="20"/>
          <w:lang w:eastAsia="en-GB"/>
        </w:rPr>
        <w:t xml:space="preserve">equitable </w:t>
      </w:r>
      <w:r w:rsidRPr="00356AA1">
        <w:rPr>
          <w:rFonts w:cs="Arial"/>
          <w:color w:val="000000"/>
          <w:sz w:val="20"/>
          <w:lang w:eastAsia="en-GB"/>
        </w:rPr>
        <w:t>program</w:t>
      </w:r>
      <w:r w:rsidR="00577442">
        <w:rPr>
          <w:rFonts w:cs="Arial"/>
          <w:color w:val="000000"/>
          <w:sz w:val="20"/>
          <w:lang w:eastAsia="en-GB"/>
        </w:rPr>
        <w:t>me</w:t>
      </w:r>
      <w:r w:rsidRPr="00356AA1">
        <w:rPr>
          <w:rFonts w:cs="Arial"/>
          <w:color w:val="000000"/>
          <w:sz w:val="20"/>
          <w:lang w:eastAsia="en-GB"/>
        </w:rPr>
        <w:t>s</w:t>
      </w:r>
      <w:r w:rsidR="00BD28EC" w:rsidRPr="00356AA1">
        <w:rPr>
          <w:rFonts w:cs="Arial"/>
          <w:color w:val="000000"/>
          <w:sz w:val="20"/>
          <w:lang w:eastAsia="en-GB"/>
        </w:rPr>
        <w:t xml:space="preserve">. </w:t>
      </w:r>
    </w:p>
    <w:p w:rsidR="00FF4737" w:rsidRPr="00356AA1" w:rsidRDefault="00BD6BB6">
      <w:pPr>
        <w:pStyle w:val="SingleTxtG"/>
        <w:rPr>
          <w:sz w:val="20"/>
        </w:rPr>
      </w:pPr>
      <w:r w:rsidRPr="00356AA1">
        <w:rPr>
          <w:sz w:val="20"/>
        </w:rPr>
        <w:t>6</w:t>
      </w:r>
      <w:r w:rsidR="0042434E">
        <w:rPr>
          <w:sz w:val="20"/>
        </w:rPr>
        <w:t>8</w:t>
      </w:r>
      <w:r w:rsidRPr="00356AA1">
        <w:rPr>
          <w:sz w:val="20"/>
        </w:rPr>
        <w:t>.</w:t>
      </w:r>
      <w:r w:rsidRPr="00356AA1">
        <w:rPr>
          <w:sz w:val="20"/>
        </w:rPr>
        <w:tab/>
        <w:t>Program</w:t>
      </w:r>
      <w:r w:rsidR="00577442">
        <w:rPr>
          <w:sz w:val="20"/>
        </w:rPr>
        <w:t>me</w:t>
      </w:r>
      <w:r w:rsidRPr="00356AA1">
        <w:rPr>
          <w:sz w:val="20"/>
        </w:rPr>
        <w:t>s with different types of exclusions</w:t>
      </w:r>
      <w:r w:rsidR="00577442" w:rsidRPr="00577442">
        <w:rPr>
          <w:sz w:val="20"/>
        </w:rPr>
        <w:t xml:space="preserve"> </w:t>
      </w:r>
      <w:r w:rsidR="00577442">
        <w:rPr>
          <w:sz w:val="20"/>
        </w:rPr>
        <w:t>are</w:t>
      </w:r>
      <w:r w:rsidR="00577442" w:rsidRPr="004D1E9A">
        <w:rPr>
          <w:sz w:val="20"/>
        </w:rPr>
        <w:t xml:space="preserve"> rife</w:t>
      </w:r>
      <w:r w:rsidRPr="00356AA1">
        <w:rPr>
          <w:sz w:val="20"/>
        </w:rPr>
        <w:t xml:space="preserve">: </w:t>
      </w:r>
      <w:r w:rsidR="00577442">
        <w:rPr>
          <w:sz w:val="20"/>
        </w:rPr>
        <w:t xml:space="preserve">certain </w:t>
      </w:r>
      <w:r w:rsidRPr="00356AA1">
        <w:rPr>
          <w:sz w:val="20"/>
        </w:rPr>
        <w:t>types of conditions are not covered (</w:t>
      </w:r>
      <w:r w:rsidR="00577442">
        <w:rPr>
          <w:sz w:val="20"/>
        </w:rPr>
        <w:t>such as</w:t>
      </w:r>
      <w:r w:rsidRPr="00356AA1">
        <w:rPr>
          <w:sz w:val="20"/>
        </w:rPr>
        <w:t xml:space="preserve"> various forms of psychological disabilit</w:t>
      </w:r>
      <w:r w:rsidR="00577442">
        <w:rPr>
          <w:sz w:val="20"/>
        </w:rPr>
        <w:t>y</w:t>
      </w:r>
      <w:r w:rsidRPr="00356AA1">
        <w:rPr>
          <w:sz w:val="20"/>
        </w:rPr>
        <w:t xml:space="preserve">), </w:t>
      </w:r>
      <w:r w:rsidR="00577442">
        <w:rPr>
          <w:sz w:val="20"/>
        </w:rPr>
        <w:t xml:space="preserve">while some categories </w:t>
      </w:r>
      <w:r w:rsidRPr="00356AA1">
        <w:rPr>
          <w:sz w:val="20"/>
        </w:rPr>
        <w:t xml:space="preserve">of person are ineligible, </w:t>
      </w:r>
      <w:r w:rsidR="00577442">
        <w:rPr>
          <w:sz w:val="20"/>
        </w:rPr>
        <w:t>in particular</w:t>
      </w:r>
      <w:r w:rsidRPr="00356AA1">
        <w:rPr>
          <w:sz w:val="20"/>
        </w:rPr>
        <w:t xml:space="preserve"> any member of </w:t>
      </w:r>
      <w:r w:rsidR="00D51DA2">
        <w:rPr>
          <w:sz w:val="20"/>
        </w:rPr>
        <w:t xml:space="preserve">a </w:t>
      </w:r>
      <w:r w:rsidRPr="00356AA1">
        <w:rPr>
          <w:sz w:val="20"/>
        </w:rPr>
        <w:t xml:space="preserve">group classified as terrorist or </w:t>
      </w:r>
      <w:r w:rsidR="00096E0F">
        <w:rPr>
          <w:sz w:val="20"/>
        </w:rPr>
        <w:t>his/her</w:t>
      </w:r>
      <w:r w:rsidRPr="00356AA1">
        <w:rPr>
          <w:sz w:val="20"/>
        </w:rPr>
        <w:t xml:space="preserve"> famil</w:t>
      </w:r>
      <w:r w:rsidR="00096E0F">
        <w:rPr>
          <w:sz w:val="20"/>
        </w:rPr>
        <w:t>y</w:t>
      </w:r>
      <w:r w:rsidRPr="00356AA1">
        <w:rPr>
          <w:sz w:val="20"/>
        </w:rPr>
        <w:t>, barred from receiving benefits, a limitation already highlighted in 1998</w:t>
      </w:r>
      <w:r w:rsidR="00D51DA2" w:rsidRPr="001B7DB9">
        <w:rPr>
          <w:rStyle w:val="FootnoteReference"/>
          <w:szCs w:val="18"/>
        </w:rPr>
        <w:footnoteReference w:id="17"/>
      </w:r>
      <w:r w:rsidRPr="00356AA1">
        <w:rPr>
          <w:sz w:val="20"/>
        </w:rPr>
        <w:t xml:space="preserve"> </w:t>
      </w:r>
      <w:r w:rsidR="00E651B7">
        <w:rPr>
          <w:sz w:val="20"/>
        </w:rPr>
        <w:t>that</w:t>
      </w:r>
      <w:r w:rsidRPr="00356AA1">
        <w:rPr>
          <w:sz w:val="20"/>
        </w:rPr>
        <w:t xml:space="preserve"> still cause</w:t>
      </w:r>
      <w:r w:rsidR="00E651B7">
        <w:rPr>
          <w:sz w:val="20"/>
        </w:rPr>
        <w:t>s</w:t>
      </w:r>
      <w:r w:rsidRPr="00356AA1">
        <w:rPr>
          <w:sz w:val="20"/>
        </w:rPr>
        <w:t xml:space="preserve"> a great deal of division and </w:t>
      </w:r>
      <w:r w:rsidR="00D51DA2">
        <w:rPr>
          <w:sz w:val="20"/>
        </w:rPr>
        <w:t>dispute</w:t>
      </w:r>
      <w:r w:rsidRPr="00356AA1">
        <w:rPr>
          <w:sz w:val="20"/>
        </w:rPr>
        <w:t xml:space="preserve">. Gender gaps </w:t>
      </w:r>
      <w:r w:rsidR="00E651B7" w:rsidRPr="004F4F6E">
        <w:rPr>
          <w:sz w:val="20"/>
        </w:rPr>
        <w:t xml:space="preserve">identified </w:t>
      </w:r>
      <w:r w:rsidRPr="00356AA1">
        <w:rPr>
          <w:sz w:val="20"/>
        </w:rPr>
        <w:t xml:space="preserve">in the provision of reparations reflect </w:t>
      </w:r>
      <w:r w:rsidR="00E651B7">
        <w:rPr>
          <w:sz w:val="20"/>
        </w:rPr>
        <w:t>the</w:t>
      </w:r>
      <w:r w:rsidRPr="00356AA1">
        <w:rPr>
          <w:sz w:val="20"/>
        </w:rPr>
        <w:t xml:space="preserve"> broader challenge of ensuring reparations</w:t>
      </w:r>
      <w:r w:rsidR="00E651B7" w:rsidRPr="00E651B7">
        <w:rPr>
          <w:sz w:val="20"/>
        </w:rPr>
        <w:t xml:space="preserve"> </w:t>
      </w:r>
      <w:r w:rsidR="00E651B7">
        <w:rPr>
          <w:sz w:val="20"/>
        </w:rPr>
        <w:t xml:space="preserve">that are </w:t>
      </w:r>
      <w:r w:rsidR="00E651B7" w:rsidRPr="00EC658A">
        <w:rPr>
          <w:sz w:val="20"/>
        </w:rPr>
        <w:t>gender-sensitive</w:t>
      </w:r>
      <w:r w:rsidRPr="00356AA1">
        <w:rPr>
          <w:sz w:val="20"/>
        </w:rPr>
        <w:t>.</w:t>
      </w:r>
      <w:r w:rsidRPr="00E651B7">
        <w:rPr>
          <w:rStyle w:val="FootnoteReference"/>
          <w:szCs w:val="18"/>
        </w:rPr>
        <w:footnoteReference w:id="18"/>
      </w:r>
    </w:p>
    <w:p w:rsidR="00FF4737" w:rsidRPr="00356AA1" w:rsidRDefault="0042434E">
      <w:pPr>
        <w:pStyle w:val="SingleTxtG"/>
        <w:rPr>
          <w:rFonts w:cs="Arial"/>
          <w:color w:val="000000"/>
          <w:sz w:val="20"/>
          <w:lang w:eastAsia="en-GB"/>
        </w:rPr>
      </w:pPr>
      <w:r>
        <w:rPr>
          <w:sz w:val="20"/>
        </w:rPr>
        <w:t>69</w:t>
      </w:r>
      <w:r w:rsidR="00BD6BB6" w:rsidRPr="00356AA1">
        <w:rPr>
          <w:sz w:val="20"/>
        </w:rPr>
        <w:t>.</w:t>
      </w:r>
      <w:r w:rsidR="00BD6BB6" w:rsidRPr="00356AA1">
        <w:rPr>
          <w:sz w:val="20"/>
        </w:rPr>
        <w:tab/>
        <w:t xml:space="preserve">An apt illustration of how far the legacies of the past are from being resolved is the controversy </w:t>
      </w:r>
      <w:r w:rsidR="00A73C98">
        <w:rPr>
          <w:sz w:val="20"/>
        </w:rPr>
        <w:t>over</w:t>
      </w:r>
      <w:r w:rsidR="00A73C98" w:rsidRPr="00356AA1">
        <w:rPr>
          <w:sz w:val="20"/>
        </w:rPr>
        <w:t xml:space="preserve"> </w:t>
      </w:r>
      <w:r w:rsidR="00BD6BB6" w:rsidRPr="00356AA1">
        <w:rPr>
          <w:sz w:val="20"/>
        </w:rPr>
        <w:t xml:space="preserve">pensions. For years, </w:t>
      </w:r>
      <w:r w:rsidR="00A73C98">
        <w:rPr>
          <w:sz w:val="20"/>
        </w:rPr>
        <w:t>non-governmental organizations</w:t>
      </w:r>
      <w:r w:rsidR="00BD6BB6" w:rsidRPr="00356AA1">
        <w:rPr>
          <w:rFonts w:cs="Arial"/>
          <w:color w:val="000000"/>
          <w:sz w:val="20"/>
          <w:lang w:eastAsia="en-GB"/>
        </w:rPr>
        <w:t xml:space="preserve"> have campaign</w:t>
      </w:r>
      <w:r w:rsidR="00A73C98">
        <w:rPr>
          <w:rFonts w:cs="Arial"/>
          <w:color w:val="000000"/>
          <w:sz w:val="20"/>
          <w:lang w:eastAsia="en-GB"/>
        </w:rPr>
        <w:t>ed</w:t>
      </w:r>
      <w:r w:rsidR="00BD6BB6" w:rsidRPr="00356AA1">
        <w:rPr>
          <w:rFonts w:cs="Arial"/>
          <w:color w:val="000000"/>
          <w:sz w:val="20"/>
          <w:lang w:eastAsia="en-GB"/>
        </w:rPr>
        <w:t xml:space="preserve"> to establish a pension for those seriously injured during the Troubles and thus unable to work and accrue occupational pension rights. The </w:t>
      </w:r>
      <w:r w:rsidR="00A73C98" w:rsidRPr="00DA73A6">
        <w:rPr>
          <w:sz w:val="20"/>
        </w:rPr>
        <w:t>Commission for Victims and Survivors</w:t>
      </w:r>
      <w:r w:rsidR="00A73C98" w:rsidRPr="00A73C98" w:rsidDel="00A73C98">
        <w:rPr>
          <w:rFonts w:cs="Arial"/>
          <w:color w:val="000000"/>
          <w:sz w:val="20"/>
          <w:lang w:eastAsia="en-GB"/>
        </w:rPr>
        <w:t xml:space="preserve"> </w:t>
      </w:r>
      <w:r w:rsidR="00BD6BB6" w:rsidRPr="00356AA1">
        <w:rPr>
          <w:rFonts w:cs="Arial"/>
          <w:color w:val="000000"/>
          <w:sz w:val="20"/>
          <w:lang w:eastAsia="en-GB"/>
        </w:rPr>
        <w:t xml:space="preserve">has endorsed this proposal, and </w:t>
      </w:r>
      <w:r w:rsidR="00A73C98">
        <w:rPr>
          <w:rFonts w:cs="Arial"/>
          <w:color w:val="000000"/>
          <w:sz w:val="20"/>
          <w:lang w:eastAsia="en-GB"/>
        </w:rPr>
        <w:t>issued</w:t>
      </w:r>
      <w:r w:rsidR="00BD6BB6" w:rsidRPr="00356AA1">
        <w:rPr>
          <w:rFonts w:cs="Arial"/>
          <w:color w:val="000000"/>
          <w:sz w:val="20"/>
          <w:lang w:eastAsia="en-GB"/>
        </w:rPr>
        <w:t xml:space="preserve"> an </w:t>
      </w:r>
      <w:r w:rsidR="00A73C98">
        <w:rPr>
          <w:rFonts w:cs="Arial"/>
          <w:color w:val="000000"/>
          <w:sz w:val="20"/>
          <w:lang w:eastAsia="en-GB"/>
        </w:rPr>
        <w:t>a</w:t>
      </w:r>
      <w:r w:rsidR="00BD6BB6" w:rsidRPr="00356AA1">
        <w:rPr>
          <w:rFonts w:cs="Arial"/>
          <w:color w:val="000000"/>
          <w:sz w:val="20"/>
          <w:lang w:eastAsia="en-GB"/>
        </w:rPr>
        <w:t xml:space="preserve">dvice </w:t>
      </w:r>
      <w:r w:rsidR="00A73C98">
        <w:rPr>
          <w:rFonts w:cs="Arial"/>
          <w:color w:val="000000"/>
          <w:sz w:val="20"/>
          <w:lang w:eastAsia="en-GB"/>
        </w:rPr>
        <w:t>p</w:t>
      </w:r>
      <w:r w:rsidR="00BD6BB6" w:rsidRPr="00356AA1">
        <w:rPr>
          <w:rFonts w:cs="Arial"/>
          <w:color w:val="000000"/>
          <w:sz w:val="20"/>
          <w:lang w:eastAsia="en-GB"/>
        </w:rPr>
        <w:t xml:space="preserve">aper </w:t>
      </w:r>
      <w:r w:rsidR="00A73C98">
        <w:rPr>
          <w:rFonts w:cs="Arial"/>
          <w:color w:val="000000"/>
          <w:sz w:val="20"/>
          <w:lang w:eastAsia="en-GB"/>
        </w:rPr>
        <w:t xml:space="preserve">in which it </w:t>
      </w:r>
      <w:r w:rsidR="00BD6BB6" w:rsidRPr="00356AA1">
        <w:rPr>
          <w:rFonts w:cs="Arial"/>
          <w:color w:val="000000"/>
          <w:sz w:val="20"/>
          <w:lang w:eastAsia="en-GB"/>
        </w:rPr>
        <w:t>estimat</w:t>
      </w:r>
      <w:r w:rsidR="00A73C98">
        <w:rPr>
          <w:rFonts w:cs="Arial"/>
          <w:color w:val="000000"/>
          <w:sz w:val="20"/>
          <w:lang w:eastAsia="en-GB"/>
        </w:rPr>
        <w:t>ed</w:t>
      </w:r>
      <w:r w:rsidR="00BD6BB6" w:rsidRPr="00356AA1">
        <w:rPr>
          <w:rFonts w:cs="Arial"/>
          <w:color w:val="000000"/>
          <w:sz w:val="20"/>
          <w:lang w:eastAsia="en-GB"/>
        </w:rPr>
        <w:t xml:space="preserve"> that approximately 500 individuals would </w:t>
      </w:r>
      <w:r w:rsidR="00EE070E">
        <w:rPr>
          <w:rFonts w:cs="Arial"/>
          <w:color w:val="000000"/>
          <w:sz w:val="20"/>
          <w:lang w:eastAsia="en-GB"/>
        </w:rPr>
        <w:t>be eligible</w:t>
      </w:r>
      <w:r w:rsidR="00EE070E" w:rsidRPr="00356AA1">
        <w:rPr>
          <w:rFonts w:cs="Arial"/>
          <w:color w:val="000000"/>
          <w:sz w:val="20"/>
          <w:lang w:eastAsia="en-GB"/>
        </w:rPr>
        <w:t xml:space="preserve"> </w:t>
      </w:r>
      <w:r w:rsidR="00BD6BB6" w:rsidRPr="00356AA1">
        <w:rPr>
          <w:rFonts w:cs="Arial"/>
          <w:color w:val="000000"/>
          <w:sz w:val="20"/>
          <w:lang w:eastAsia="en-GB"/>
        </w:rPr>
        <w:t>for the pension under existing criteria, including the statutory definition of victim in 2013. Th</w:t>
      </w:r>
      <w:r w:rsidR="00341782">
        <w:rPr>
          <w:rFonts w:cs="Arial"/>
          <w:color w:val="000000"/>
          <w:sz w:val="20"/>
          <w:lang w:eastAsia="en-GB"/>
        </w:rPr>
        <w:t>is proposal</w:t>
      </w:r>
      <w:r w:rsidR="00A73C98" w:rsidRPr="00A73C98">
        <w:rPr>
          <w:rFonts w:cs="Arial"/>
          <w:color w:val="000000"/>
          <w:sz w:val="20"/>
          <w:lang w:eastAsia="en-GB"/>
        </w:rPr>
        <w:t xml:space="preserve"> </w:t>
      </w:r>
      <w:r w:rsidR="00A73C98" w:rsidRPr="00072E7D">
        <w:rPr>
          <w:rFonts w:cs="Arial"/>
          <w:color w:val="000000"/>
          <w:sz w:val="20"/>
          <w:lang w:eastAsia="en-GB"/>
        </w:rPr>
        <w:t>would</w:t>
      </w:r>
      <w:r w:rsidR="00BD6BB6" w:rsidRPr="00356AA1">
        <w:rPr>
          <w:rFonts w:cs="Arial"/>
          <w:color w:val="000000"/>
          <w:sz w:val="20"/>
          <w:lang w:eastAsia="en-GB"/>
        </w:rPr>
        <w:t xml:space="preserve">, however, allow a </w:t>
      </w:r>
      <w:r w:rsidR="00341782">
        <w:rPr>
          <w:rFonts w:cs="Arial"/>
          <w:color w:val="000000"/>
          <w:sz w:val="20"/>
          <w:lang w:eastAsia="en-GB"/>
        </w:rPr>
        <w:t>small number</w:t>
      </w:r>
      <w:r w:rsidR="00341782" w:rsidRPr="00356AA1">
        <w:rPr>
          <w:rFonts w:cs="Arial"/>
          <w:color w:val="000000"/>
          <w:sz w:val="20"/>
          <w:lang w:eastAsia="en-GB"/>
        </w:rPr>
        <w:t xml:space="preserve"> </w:t>
      </w:r>
      <w:r w:rsidR="00BD6BB6" w:rsidRPr="00356AA1">
        <w:rPr>
          <w:rFonts w:cs="Arial"/>
          <w:color w:val="000000"/>
          <w:sz w:val="20"/>
          <w:lang w:eastAsia="en-GB"/>
        </w:rPr>
        <w:t>of people who were not only victimized themselves but, in some way, may have victimized others</w:t>
      </w:r>
      <w:r w:rsidR="00EE070E">
        <w:rPr>
          <w:rFonts w:cs="Arial"/>
          <w:color w:val="000000"/>
          <w:sz w:val="20"/>
          <w:lang w:eastAsia="en-GB"/>
        </w:rPr>
        <w:t>,</w:t>
      </w:r>
      <w:r w:rsidR="00BD6BB6" w:rsidRPr="00356AA1">
        <w:rPr>
          <w:rFonts w:cs="Arial"/>
          <w:color w:val="000000"/>
          <w:sz w:val="20"/>
          <w:lang w:eastAsia="en-GB"/>
        </w:rPr>
        <w:t xml:space="preserve"> to receive the pension</w:t>
      </w:r>
      <w:r w:rsidR="00341782">
        <w:rPr>
          <w:rFonts w:cs="Arial"/>
          <w:color w:val="000000"/>
          <w:sz w:val="20"/>
          <w:lang w:eastAsia="en-GB"/>
        </w:rPr>
        <w:t xml:space="preserve"> too</w:t>
      </w:r>
      <w:r w:rsidR="00BD6BB6" w:rsidRPr="00356AA1">
        <w:rPr>
          <w:rFonts w:cs="Arial"/>
          <w:color w:val="000000"/>
          <w:sz w:val="20"/>
          <w:lang w:eastAsia="en-GB"/>
        </w:rPr>
        <w:t>. A program</w:t>
      </w:r>
      <w:r w:rsidR="00EE070E">
        <w:rPr>
          <w:rFonts w:cs="Arial"/>
          <w:color w:val="000000"/>
          <w:sz w:val="20"/>
          <w:lang w:eastAsia="en-GB"/>
        </w:rPr>
        <w:t>me</w:t>
      </w:r>
      <w:r w:rsidR="00BD6BB6" w:rsidRPr="00356AA1">
        <w:rPr>
          <w:rFonts w:cs="Arial"/>
          <w:color w:val="000000"/>
          <w:sz w:val="20"/>
          <w:lang w:eastAsia="en-GB"/>
        </w:rPr>
        <w:t xml:space="preserve"> that would benefit approximately </w:t>
      </w:r>
      <w:r w:rsidR="00EE070E">
        <w:rPr>
          <w:rFonts w:cs="Arial"/>
          <w:color w:val="000000"/>
          <w:sz w:val="20"/>
          <w:lang w:eastAsia="en-GB"/>
        </w:rPr>
        <w:t>500</w:t>
      </w:r>
      <w:r w:rsidR="00BD6BB6" w:rsidRPr="00356AA1">
        <w:rPr>
          <w:rFonts w:cs="Arial"/>
          <w:color w:val="000000"/>
          <w:sz w:val="20"/>
          <w:lang w:eastAsia="en-GB"/>
        </w:rPr>
        <w:t xml:space="preserve"> needy </w:t>
      </w:r>
      <w:r w:rsidR="00EE070E">
        <w:rPr>
          <w:rFonts w:cs="Arial"/>
          <w:color w:val="000000"/>
          <w:sz w:val="20"/>
          <w:lang w:eastAsia="en-GB"/>
        </w:rPr>
        <w:t>people</w:t>
      </w:r>
      <w:r w:rsidR="00BD6BB6" w:rsidRPr="00356AA1">
        <w:rPr>
          <w:rFonts w:cs="Arial"/>
          <w:color w:val="000000"/>
          <w:sz w:val="20"/>
          <w:lang w:eastAsia="en-GB"/>
        </w:rPr>
        <w:t xml:space="preserve"> directly and others indirectly, transferring to them £2 million per year, </w:t>
      </w:r>
      <w:r w:rsidR="009B62A9">
        <w:rPr>
          <w:rFonts w:cs="Arial"/>
          <w:color w:val="000000"/>
          <w:sz w:val="20"/>
          <w:lang w:eastAsia="en-GB"/>
        </w:rPr>
        <w:t>lost the required</w:t>
      </w:r>
      <w:r w:rsidR="00EE070E">
        <w:rPr>
          <w:rFonts w:cs="Arial"/>
          <w:color w:val="000000"/>
          <w:sz w:val="20"/>
          <w:lang w:eastAsia="en-GB"/>
        </w:rPr>
        <w:t xml:space="preserve"> </w:t>
      </w:r>
      <w:r w:rsidR="00BD6BB6" w:rsidRPr="00356AA1">
        <w:rPr>
          <w:rFonts w:cs="Arial"/>
          <w:color w:val="000000"/>
          <w:sz w:val="20"/>
          <w:lang w:eastAsia="en-GB"/>
        </w:rPr>
        <w:t>political support</w:t>
      </w:r>
      <w:r w:rsidR="009B62A9">
        <w:rPr>
          <w:rFonts w:cs="Arial"/>
          <w:color w:val="000000"/>
          <w:sz w:val="20"/>
          <w:lang w:eastAsia="en-GB"/>
        </w:rPr>
        <w:t>; consequently, no one receives the pension</w:t>
      </w:r>
      <w:r w:rsidR="00BD6BB6" w:rsidRPr="00356AA1">
        <w:rPr>
          <w:rFonts w:cs="Arial"/>
          <w:color w:val="000000"/>
          <w:sz w:val="20"/>
          <w:lang w:eastAsia="en-GB"/>
        </w:rPr>
        <w:t>.</w:t>
      </w:r>
      <w:r w:rsidR="00BD6BB6" w:rsidRPr="00EE070E">
        <w:rPr>
          <w:rStyle w:val="FootnoteReference"/>
          <w:rFonts w:cs="Arial"/>
          <w:color w:val="000000"/>
          <w:szCs w:val="18"/>
          <w:lang w:eastAsia="en-GB"/>
        </w:rPr>
        <w:footnoteReference w:id="19"/>
      </w:r>
      <w:r w:rsidR="00781044">
        <w:rPr>
          <w:rFonts w:cs="Arial"/>
          <w:color w:val="000000"/>
          <w:sz w:val="20"/>
          <w:lang w:eastAsia="en-GB"/>
        </w:rPr>
        <w:t xml:space="preserve"> </w:t>
      </w:r>
    </w:p>
    <w:p w:rsidR="00FF4737" w:rsidRPr="00356AA1" w:rsidRDefault="00BD6BB6">
      <w:pPr>
        <w:pStyle w:val="SingleTxtG"/>
        <w:rPr>
          <w:rFonts w:cs="Arial"/>
          <w:color w:val="000000"/>
          <w:sz w:val="20"/>
          <w:lang w:eastAsia="en-GB"/>
        </w:rPr>
      </w:pPr>
      <w:r w:rsidRPr="00356AA1">
        <w:rPr>
          <w:rFonts w:cs="Arial"/>
          <w:color w:val="000000"/>
          <w:sz w:val="20"/>
          <w:lang w:eastAsia="en-GB"/>
        </w:rPr>
        <w:t>7</w:t>
      </w:r>
      <w:r w:rsidR="0042434E">
        <w:rPr>
          <w:rFonts w:cs="Arial"/>
          <w:color w:val="000000"/>
          <w:sz w:val="20"/>
          <w:lang w:eastAsia="en-GB"/>
        </w:rPr>
        <w:t>0</w:t>
      </w:r>
      <w:r w:rsidRPr="00356AA1">
        <w:rPr>
          <w:rFonts w:cs="Arial"/>
          <w:color w:val="000000"/>
          <w:sz w:val="20"/>
          <w:lang w:eastAsia="en-GB"/>
        </w:rPr>
        <w:t>.</w:t>
      </w:r>
      <w:r w:rsidRPr="00356AA1">
        <w:rPr>
          <w:rFonts w:cs="Arial"/>
          <w:color w:val="000000"/>
          <w:sz w:val="20"/>
          <w:lang w:eastAsia="en-GB"/>
        </w:rPr>
        <w:tab/>
        <w:t>This debate has crystal</w:t>
      </w:r>
      <w:r w:rsidR="00FA78E2">
        <w:rPr>
          <w:rFonts w:cs="Arial"/>
          <w:color w:val="000000"/>
          <w:sz w:val="20"/>
          <w:lang w:eastAsia="en-GB"/>
        </w:rPr>
        <w:t>l</w:t>
      </w:r>
      <w:r w:rsidRPr="00356AA1">
        <w:rPr>
          <w:rFonts w:cs="Arial"/>
          <w:color w:val="000000"/>
          <w:sz w:val="20"/>
          <w:lang w:eastAsia="en-GB"/>
        </w:rPr>
        <w:t xml:space="preserve">ized around the very basic concept of </w:t>
      </w:r>
      <w:r w:rsidR="00FA78E2">
        <w:rPr>
          <w:rFonts w:cs="Arial"/>
          <w:color w:val="000000"/>
          <w:sz w:val="20"/>
          <w:lang w:eastAsia="en-GB"/>
        </w:rPr>
        <w:t>“</w:t>
      </w:r>
      <w:r w:rsidRPr="00356AA1">
        <w:rPr>
          <w:rFonts w:cs="Arial"/>
          <w:color w:val="000000"/>
          <w:sz w:val="20"/>
          <w:lang w:eastAsia="en-GB"/>
        </w:rPr>
        <w:t>victim</w:t>
      </w:r>
      <w:r w:rsidR="00FA78E2">
        <w:rPr>
          <w:rFonts w:cs="Arial"/>
          <w:color w:val="000000"/>
          <w:sz w:val="20"/>
          <w:lang w:eastAsia="en-GB"/>
        </w:rPr>
        <w:t>”</w:t>
      </w:r>
      <w:r w:rsidRPr="00356AA1">
        <w:rPr>
          <w:rFonts w:cs="Arial"/>
          <w:color w:val="000000"/>
          <w:sz w:val="20"/>
          <w:lang w:eastAsia="en-GB"/>
        </w:rPr>
        <w:t>. Under the Victims and Survivors (N</w:t>
      </w:r>
      <w:r w:rsidR="00FA78E2">
        <w:rPr>
          <w:rFonts w:cs="Arial"/>
          <w:color w:val="000000"/>
          <w:sz w:val="20"/>
          <w:lang w:eastAsia="en-GB"/>
        </w:rPr>
        <w:t xml:space="preserve">orthern </w:t>
      </w:r>
      <w:r w:rsidRPr="00356AA1">
        <w:rPr>
          <w:rFonts w:cs="Arial"/>
          <w:color w:val="000000"/>
          <w:sz w:val="20"/>
          <w:lang w:eastAsia="en-GB"/>
        </w:rPr>
        <w:t>I</w:t>
      </w:r>
      <w:r w:rsidR="00FA78E2">
        <w:rPr>
          <w:rFonts w:cs="Arial"/>
          <w:color w:val="000000"/>
          <w:sz w:val="20"/>
          <w:lang w:eastAsia="en-GB"/>
        </w:rPr>
        <w:t>reland</w:t>
      </w:r>
      <w:r w:rsidRPr="00356AA1">
        <w:rPr>
          <w:rFonts w:cs="Arial"/>
          <w:color w:val="000000"/>
          <w:sz w:val="20"/>
          <w:lang w:eastAsia="en-GB"/>
        </w:rPr>
        <w:t>) Order 2006, the legal definition is a general, inclusive one –</w:t>
      </w:r>
      <w:r w:rsidR="000E496A">
        <w:rPr>
          <w:rFonts w:cs="Arial"/>
          <w:color w:val="000000"/>
          <w:sz w:val="20"/>
          <w:lang w:eastAsia="en-GB"/>
        </w:rPr>
        <w:t xml:space="preserve"> indeed </w:t>
      </w:r>
      <w:r w:rsidRPr="00356AA1">
        <w:rPr>
          <w:rFonts w:cs="Arial"/>
          <w:color w:val="000000"/>
          <w:sz w:val="20"/>
          <w:lang w:eastAsia="en-GB"/>
        </w:rPr>
        <w:t xml:space="preserve">overly so, compared with familiar definitions in international documents. The main nationalist and </w:t>
      </w:r>
      <w:r w:rsidR="000E496A">
        <w:rPr>
          <w:rFonts w:cs="Arial"/>
          <w:color w:val="000000"/>
          <w:sz w:val="20"/>
          <w:lang w:eastAsia="en-GB"/>
        </w:rPr>
        <w:t>R</w:t>
      </w:r>
      <w:r w:rsidRPr="00356AA1">
        <w:rPr>
          <w:rFonts w:cs="Arial"/>
          <w:color w:val="000000"/>
          <w:sz w:val="20"/>
          <w:lang w:eastAsia="en-GB"/>
        </w:rPr>
        <w:t>epublican political parties and organizations broadly agree with the inclusive definition; in contrast</w:t>
      </w:r>
      <w:r w:rsidR="000E496A">
        <w:rPr>
          <w:rFonts w:cs="Arial"/>
          <w:color w:val="000000"/>
          <w:sz w:val="20"/>
          <w:lang w:eastAsia="en-GB"/>
        </w:rPr>
        <w:t>,</w:t>
      </w:r>
      <w:r w:rsidRPr="00356AA1">
        <w:rPr>
          <w:rFonts w:cs="Arial"/>
          <w:color w:val="000000"/>
          <w:sz w:val="20"/>
          <w:lang w:eastAsia="en-GB"/>
        </w:rPr>
        <w:t xml:space="preserve"> </w:t>
      </w:r>
      <w:r w:rsidR="000E496A">
        <w:rPr>
          <w:rFonts w:cs="Arial"/>
          <w:color w:val="000000"/>
          <w:sz w:val="20"/>
          <w:lang w:eastAsia="en-GB"/>
        </w:rPr>
        <w:t>U</w:t>
      </w:r>
      <w:r w:rsidRPr="00356AA1">
        <w:rPr>
          <w:rFonts w:cs="Arial"/>
          <w:color w:val="000000"/>
          <w:sz w:val="20"/>
          <w:lang w:eastAsia="en-GB"/>
        </w:rPr>
        <w:t xml:space="preserve">nionist and </w:t>
      </w:r>
      <w:r w:rsidR="000E496A">
        <w:rPr>
          <w:rFonts w:cs="Arial"/>
          <w:color w:val="000000"/>
          <w:sz w:val="20"/>
          <w:lang w:eastAsia="en-GB"/>
        </w:rPr>
        <w:t>L</w:t>
      </w:r>
      <w:r w:rsidRPr="00356AA1">
        <w:rPr>
          <w:rFonts w:cs="Arial"/>
          <w:color w:val="000000"/>
          <w:sz w:val="20"/>
          <w:lang w:eastAsia="en-GB"/>
        </w:rPr>
        <w:t>oyalist parties and organizations see the definition –</w:t>
      </w:r>
      <w:r w:rsidR="000E496A">
        <w:rPr>
          <w:rFonts w:cs="Arial"/>
          <w:color w:val="000000"/>
          <w:sz w:val="20"/>
          <w:lang w:eastAsia="en-GB"/>
        </w:rPr>
        <w:t xml:space="preserve"> </w:t>
      </w:r>
      <w:r w:rsidRPr="00356AA1">
        <w:rPr>
          <w:rFonts w:cs="Arial"/>
          <w:color w:val="000000"/>
          <w:sz w:val="20"/>
          <w:lang w:eastAsia="en-GB"/>
        </w:rPr>
        <w:t xml:space="preserve">and its consequences, </w:t>
      </w:r>
      <w:r w:rsidR="000E496A">
        <w:rPr>
          <w:rFonts w:cs="Arial"/>
          <w:color w:val="000000"/>
          <w:sz w:val="20"/>
          <w:lang w:eastAsia="en-GB"/>
        </w:rPr>
        <w:t xml:space="preserve">that </w:t>
      </w:r>
      <w:proofErr w:type="gramStart"/>
      <w:r w:rsidR="000E496A">
        <w:rPr>
          <w:rFonts w:cs="Arial"/>
          <w:color w:val="000000"/>
          <w:sz w:val="20"/>
          <w:lang w:eastAsia="en-GB"/>
        </w:rPr>
        <w:t>is</w:t>
      </w:r>
      <w:proofErr w:type="gramEnd"/>
      <w:r w:rsidRPr="00356AA1">
        <w:rPr>
          <w:rFonts w:cs="Arial"/>
          <w:color w:val="000000"/>
          <w:sz w:val="20"/>
          <w:lang w:eastAsia="en-GB"/>
        </w:rPr>
        <w:t xml:space="preserve">, making eligible </w:t>
      </w:r>
      <w:r w:rsidR="001D52C2">
        <w:rPr>
          <w:rFonts w:cs="Arial"/>
          <w:color w:val="000000"/>
          <w:sz w:val="20"/>
          <w:lang w:eastAsia="en-GB"/>
        </w:rPr>
        <w:t xml:space="preserve">to receive the pension </w:t>
      </w:r>
      <w:r w:rsidR="000E496A">
        <w:rPr>
          <w:rFonts w:cs="Arial"/>
          <w:color w:val="000000"/>
          <w:sz w:val="20"/>
          <w:lang w:eastAsia="en-GB"/>
        </w:rPr>
        <w:t xml:space="preserve">persons </w:t>
      </w:r>
      <w:r w:rsidR="001D52C2">
        <w:rPr>
          <w:rFonts w:cs="Arial"/>
          <w:color w:val="000000"/>
          <w:sz w:val="20"/>
          <w:lang w:eastAsia="en-GB"/>
        </w:rPr>
        <w:t>who, in their view, are not deserving</w:t>
      </w:r>
      <w:r w:rsidRPr="00356AA1">
        <w:rPr>
          <w:rFonts w:cs="Arial"/>
          <w:color w:val="000000"/>
          <w:sz w:val="20"/>
          <w:lang w:eastAsia="en-GB"/>
        </w:rPr>
        <w:t xml:space="preserve"> </w:t>
      </w:r>
      <w:r w:rsidR="000E496A">
        <w:rPr>
          <w:rFonts w:cs="Arial"/>
          <w:color w:val="000000"/>
          <w:sz w:val="20"/>
          <w:lang w:eastAsia="en-GB"/>
        </w:rPr>
        <w:t xml:space="preserve">– </w:t>
      </w:r>
      <w:r w:rsidRPr="00356AA1">
        <w:rPr>
          <w:rFonts w:cs="Arial"/>
          <w:color w:val="000000"/>
          <w:sz w:val="20"/>
          <w:lang w:eastAsia="en-GB"/>
        </w:rPr>
        <w:t xml:space="preserve">as eroding </w:t>
      </w:r>
      <w:r w:rsidR="000E496A">
        <w:rPr>
          <w:rFonts w:cs="Arial"/>
          <w:color w:val="000000"/>
          <w:sz w:val="20"/>
          <w:lang w:eastAsia="en-GB"/>
        </w:rPr>
        <w:t xml:space="preserve">the </w:t>
      </w:r>
      <w:r w:rsidRPr="00356AA1">
        <w:rPr>
          <w:rFonts w:cs="Arial"/>
          <w:color w:val="000000"/>
          <w:sz w:val="20"/>
          <w:lang w:eastAsia="en-GB"/>
        </w:rPr>
        <w:t xml:space="preserve">boundaries between </w:t>
      </w:r>
      <w:r w:rsidR="001D52C2">
        <w:rPr>
          <w:rFonts w:cs="Arial"/>
          <w:color w:val="000000"/>
          <w:sz w:val="20"/>
          <w:lang w:eastAsia="en-GB"/>
        </w:rPr>
        <w:t>“</w:t>
      </w:r>
      <w:r w:rsidRPr="00356AA1">
        <w:rPr>
          <w:rFonts w:cs="Arial"/>
          <w:color w:val="000000"/>
          <w:sz w:val="20"/>
          <w:lang w:eastAsia="en-GB"/>
        </w:rPr>
        <w:t>innocent victims</w:t>
      </w:r>
      <w:r w:rsidR="001D52C2">
        <w:rPr>
          <w:rFonts w:cs="Arial"/>
          <w:color w:val="000000"/>
          <w:sz w:val="20"/>
          <w:lang w:eastAsia="en-GB"/>
        </w:rPr>
        <w:t>”</w:t>
      </w:r>
      <w:r w:rsidRPr="00356AA1">
        <w:rPr>
          <w:rFonts w:cs="Arial"/>
          <w:color w:val="000000"/>
          <w:sz w:val="20"/>
          <w:lang w:eastAsia="en-GB"/>
        </w:rPr>
        <w:t xml:space="preserve"> and </w:t>
      </w:r>
      <w:r w:rsidR="001D52C2">
        <w:rPr>
          <w:rFonts w:cs="Arial"/>
          <w:color w:val="000000"/>
          <w:sz w:val="20"/>
          <w:lang w:eastAsia="en-GB"/>
        </w:rPr>
        <w:t>“</w:t>
      </w:r>
      <w:r w:rsidRPr="00356AA1">
        <w:rPr>
          <w:rFonts w:cs="Arial"/>
          <w:color w:val="000000"/>
          <w:sz w:val="20"/>
          <w:lang w:eastAsia="en-GB"/>
        </w:rPr>
        <w:t>guilty perpetrators</w:t>
      </w:r>
      <w:r w:rsidR="001D52C2">
        <w:rPr>
          <w:rFonts w:cs="Arial"/>
          <w:color w:val="000000"/>
          <w:sz w:val="20"/>
          <w:lang w:eastAsia="en-GB"/>
        </w:rPr>
        <w:t>”</w:t>
      </w:r>
      <w:r w:rsidRPr="00356AA1">
        <w:rPr>
          <w:rFonts w:cs="Arial"/>
          <w:color w:val="000000"/>
          <w:sz w:val="20"/>
          <w:lang w:eastAsia="en-GB"/>
        </w:rPr>
        <w:t>.</w:t>
      </w:r>
      <w:r w:rsidRPr="000E496A">
        <w:rPr>
          <w:rStyle w:val="FootnoteReference"/>
          <w:rFonts w:cs="Arial"/>
          <w:color w:val="000000"/>
          <w:szCs w:val="18"/>
          <w:lang w:eastAsia="en-GB"/>
        </w:rPr>
        <w:footnoteReference w:id="20"/>
      </w:r>
      <w:r w:rsidR="00781044">
        <w:rPr>
          <w:rFonts w:cs="Arial"/>
          <w:color w:val="000000"/>
          <w:sz w:val="20"/>
          <w:lang w:eastAsia="en-GB"/>
        </w:rPr>
        <w:t xml:space="preserve"> </w:t>
      </w:r>
    </w:p>
    <w:p w:rsidR="00FF4737" w:rsidRPr="00356AA1" w:rsidRDefault="00BD6BB6">
      <w:pPr>
        <w:pStyle w:val="SingleTxtG"/>
        <w:rPr>
          <w:rFonts w:cs="Arial"/>
          <w:color w:val="000000"/>
          <w:sz w:val="20"/>
          <w:lang w:eastAsia="en-GB"/>
        </w:rPr>
      </w:pPr>
      <w:r w:rsidRPr="00356AA1">
        <w:rPr>
          <w:rFonts w:cs="Arial"/>
          <w:color w:val="000000"/>
          <w:sz w:val="20"/>
          <w:lang w:eastAsia="en-GB"/>
        </w:rPr>
        <w:t>7</w:t>
      </w:r>
      <w:r w:rsidR="0042434E">
        <w:rPr>
          <w:rFonts w:cs="Arial"/>
          <w:color w:val="000000"/>
          <w:sz w:val="20"/>
          <w:lang w:eastAsia="en-GB"/>
        </w:rPr>
        <w:t>1</w:t>
      </w:r>
      <w:r w:rsidRPr="00356AA1">
        <w:rPr>
          <w:rFonts w:cs="Arial"/>
          <w:color w:val="000000"/>
          <w:sz w:val="20"/>
          <w:lang w:eastAsia="en-GB"/>
        </w:rPr>
        <w:t>.</w:t>
      </w:r>
      <w:r w:rsidRPr="00356AA1">
        <w:rPr>
          <w:rFonts w:cs="Arial"/>
          <w:color w:val="000000"/>
          <w:sz w:val="20"/>
          <w:lang w:eastAsia="en-GB"/>
        </w:rPr>
        <w:tab/>
      </w:r>
      <w:r w:rsidR="000E496A">
        <w:rPr>
          <w:rFonts w:cs="Arial"/>
          <w:color w:val="000000"/>
          <w:sz w:val="20"/>
          <w:lang w:eastAsia="en-GB"/>
        </w:rPr>
        <w:t>C</w:t>
      </w:r>
      <w:r w:rsidRPr="00356AA1">
        <w:rPr>
          <w:rFonts w:cs="Arial"/>
          <w:color w:val="000000"/>
          <w:sz w:val="20"/>
          <w:lang w:eastAsia="en-GB"/>
        </w:rPr>
        <w:t xml:space="preserve">alls </w:t>
      </w:r>
      <w:r w:rsidR="000E496A">
        <w:rPr>
          <w:rFonts w:cs="Arial"/>
          <w:color w:val="000000"/>
          <w:sz w:val="20"/>
          <w:lang w:eastAsia="en-GB"/>
        </w:rPr>
        <w:t xml:space="preserve">have therefore been made </w:t>
      </w:r>
      <w:r w:rsidRPr="00356AA1">
        <w:rPr>
          <w:rFonts w:cs="Arial"/>
          <w:color w:val="000000"/>
          <w:sz w:val="20"/>
          <w:lang w:eastAsia="en-GB"/>
        </w:rPr>
        <w:t xml:space="preserve">for qualifying the notion of </w:t>
      </w:r>
      <w:r w:rsidR="000E496A">
        <w:rPr>
          <w:rFonts w:cs="Arial"/>
          <w:color w:val="000000"/>
          <w:sz w:val="20"/>
          <w:lang w:eastAsia="en-GB"/>
        </w:rPr>
        <w:t>“</w:t>
      </w:r>
      <w:r w:rsidRPr="00356AA1">
        <w:rPr>
          <w:rFonts w:cs="Arial"/>
          <w:color w:val="000000"/>
          <w:sz w:val="20"/>
          <w:lang w:eastAsia="en-GB"/>
        </w:rPr>
        <w:t>victim</w:t>
      </w:r>
      <w:r w:rsidR="000E496A">
        <w:rPr>
          <w:rFonts w:cs="Arial"/>
          <w:color w:val="000000"/>
          <w:sz w:val="20"/>
          <w:lang w:eastAsia="en-GB"/>
        </w:rPr>
        <w:t>”</w:t>
      </w:r>
      <w:r w:rsidRPr="00356AA1">
        <w:rPr>
          <w:rFonts w:cs="Arial"/>
          <w:color w:val="000000"/>
          <w:sz w:val="20"/>
          <w:lang w:eastAsia="en-GB"/>
        </w:rPr>
        <w:t xml:space="preserve">, </w:t>
      </w:r>
      <w:r w:rsidR="000E496A">
        <w:rPr>
          <w:rFonts w:cs="Arial"/>
          <w:color w:val="000000"/>
          <w:sz w:val="20"/>
          <w:lang w:eastAsia="en-GB"/>
        </w:rPr>
        <w:t xml:space="preserve">while some </w:t>
      </w:r>
      <w:r w:rsidRPr="00356AA1">
        <w:rPr>
          <w:rFonts w:cs="Arial"/>
          <w:color w:val="000000"/>
          <w:sz w:val="20"/>
          <w:lang w:eastAsia="en-GB"/>
        </w:rPr>
        <w:t xml:space="preserve">talk, both approvingly and disapprovingly, of a </w:t>
      </w:r>
      <w:r w:rsidR="000E496A">
        <w:rPr>
          <w:rFonts w:cs="Arial"/>
          <w:color w:val="000000"/>
          <w:sz w:val="20"/>
          <w:lang w:eastAsia="en-GB"/>
        </w:rPr>
        <w:t xml:space="preserve">“hierarchy” of </w:t>
      </w:r>
      <w:r w:rsidRPr="00356AA1">
        <w:rPr>
          <w:rFonts w:cs="Arial"/>
          <w:color w:val="000000"/>
          <w:sz w:val="20"/>
          <w:lang w:eastAsia="en-GB"/>
        </w:rPr>
        <w:t xml:space="preserve">victims. Once </w:t>
      </w:r>
      <w:r w:rsidR="00440EBB">
        <w:rPr>
          <w:rFonts w:cs="Arial"/>
          <w:color w:val="000000"/>
          <w:sz w:val="20"/>
          <w:lang w:eastAsia="en-GB"/>
        </w:rPr>
        <w:t xml:space="preserve">a </w:t>
      </w:r>
      <w:r w:rsidRPr="00356AA1">
        <w:rPr>
          <w:rFonts w:cs="Arial"/>
          <w:color w:val="000000"/>
          <w:sz w:val="20"/>
          <w:lang w:eastAsia="en-GB"/>
        </w:rPr>
        <w:t xml:space="preserve">debate </w:t>
      </w:r>
      <w:r w:rsidR="00440EBB">
        <w:rPr>
          <w:rFonts w:cs="Arial"/>
          <w:color w:val="000000"/>
          <w:sz w:val="20"/>
          <w:lang w:eastAsia="en-GB"/>
        </w:rPr>
        <w:t>is</w:t>
      </w:r>
      <w:r w:rsidRPr="00356AA1">
        <w:rPr>
          <w:rFonts w:cs="Arial"/>
          <w:color w:val="000000"/>
          <w:sz w:val="20"/>
          <w:lang w:eastAsia="en-GB"/>
        </w:rPr>
        <w:t xml:space="preserve"> framed in the </w:t>
      </w:r>
      <w:r w:rsidR="00440EBB">
        <w:rPr>
          <w:rFonts w:cs="Arial"/>
          <w:color w:val="000000"/>
          <w:sz w:val="20"/>
          <w:lang w:eastAsia="en-GB"/>
        </w:rPr>
        <w:t>field</w:t>
      </w:r>
      <w:r w:rsidRPr="00356AA1">
        <w:rPr>
          <w:rFonts w:cs="Arial"/>
          <w:color w:val="000000"/>
          <w:sz w:val="20"/>
          <w:lang w:eastAsia="en-GB"/>
        </w:rPr>
        <w:t xml:space="preserve"> of victimhood, </w:t>
      </w:r>
      <w:r w:rsidR="00440EBB">
        <w:rPr>
          <w:rFonts w:cs="Arial"/>
          <w:color w:val="000000"/>
          <w:sz w:val="20"/>
          <w:lang w:eastAsia="en-GB"/>
        </w:rPr>
        <w:t>it is</w:t>
      </w:r>
      <w:r w:rsidRPr="00356AA1">
        <w:rPr>
          <w:rFonts w:cs="Arial"/>
          <w:color w:val="000000"/>
          <w:sz w:val="20"/>
          <w:lang w:eastAsia="en-GB"/>
        </w:rPr>
        <w:t xml:space="preserve"> notoriously difficult to resolve given</w:t>
      </w:r>
      <w:r w:rsidR="00440EBB">
        <w:rPr>
          <w:rFonts w:cs="Arial"/>
          <w:color w:val="000000"/>
          <w:sz w:val="20"/>
          <w:lang w:eastAsia="en-GB"/>
        </w:rPr>
        <w:t>,</w:t>
      </w:r>
      <w:r w:rsidRPr="00356AA1">
        <w:rPr>
          <w:rFonts w:cs="Arial"/>
          <w:color w:val="000000"/>
          <w:sz w:val="20"/>
          <w:lang w:eastAsia="en-GB"/>
        </w:rPr>
        <w:t xml:space="preserve"> that this category is, by its very nature, both descriptive and</w:t>
      </w:r>
      <w:r w:rsidRPr="00356AA1">
        <w:rPr>
          <w:rFonts w:cs="Arial"/>
          <w:i/>
          <w:color w:val="000000"/>
          <w:sz w:val="20"/>
          <w:lang w:eastAsia="en-GB"/>
        </w:rPr>
        <w:t xml:space="preserve"> </w:t>
      </w:r>
      <w:r w:rsidRPr="00356AA1">
        <w:rPr>
          <w:rFonts w:cs="Arial"/>
          <w:color w:val="000000"/>
          <w:sz w:val="20"/>
          <w:lang w:eastAsia="en-GB"/>
        </w:rPr>
        <w:t xml:space="preserve">evaluative. This use of the notion of </w:t>
      </w:r>
      <w:r w:rsidR="00440EBB">
        <w:rPr>
          <w:rFonts w:cs="Arial"/>
          <w:color w:val="000000"/>
          <w:sz w:val="20"/>
          <w:lang w:eastAsia="en-GB"/>
        </w:rPr>
        <w:t>“</w:t>
      </w:r>
      <w:r w:rsidRPr="00356AA1">
        <w:rPr>
          <w:rFonts w:cs="Arial"/>
          <w:color w:val="000000"/>
          <w:sz w:val="20"/>
          <w:lang w:eastAsia="en-GB"/>
        </w:rPr>
        <w:t>victim</w:t>
      </w:r>
      <w:r w:rsidR="00440EBB">
        <w:rPr>
          <w:rFonts w:cs="Arial"/>
          <w:color w:val="000000"/>
          <w:sz w:val="20"/>
          <w:lang w:eastAsia="en-GB"/>
        </w:rPr>
        <w:t>”</w:t>
      </w:r>
      <w:r w:rsidRPr="00356AA1">
        <w:rPr>
          <w:rFonts w:cs="Arial"/>
          <w:color w:val="000000"/>
          <w:sz w:val="20"/>
          <w:lang w:eastAsia="en-GB"/>
        </w:rPr>
        <w:t xml:space="preserve"> is one way that </w:t>
      </w:r>
      <w:r w:rsidR="00440EBB">
        <w:rPr>
          <w:rFonts w:cs="Arial"/>
          <w:color w:val="000000"/>
          <w:sz w:val="20"/>
          <w:lang w:eastAsia="en-GB"/>
        </w:rPr>
        <w:t xml:space="preserve">any </w:t>
      </w:r>
      <w:r w:rsidRPr="00356AA1">
        <w:rPr>
          <w:rFonts w:cs="Arial"/>
          <w:color w:val="000000"/>
          <w:sz w:val="20"/>
          <w:lang w:eastAsia="en-GB"/>
        </w:rPr>
        <w:t xml:space="preserve">discussion </w:t>
      </w:r>
      <w:r w:rsidR="00440EBB">
        <w:rPr>
          <w:rFonts w:cs="Arial"/>
          <w:color w:val="000000"/>
          <w:sz w:val="20"/>
          <w:lang w:eastAsia="en-GB"/>
        </w:rPr>
        <w:t>on</w:t>
      </w:r>
      <w:r w:rsidRPr="00356AA1">
        <w:rPr>
          <w:rFonts w:cs="Arial"/>
          <w:color w:val="000000"/>
          <w:sz w:val="20"/>
          <w:lang w:eastAsia="en-GB"/>
        </w:rPr>
        <w:t xml:space="preserve"> the pa</w:t>
      </w:r>
      <w:r w:rsidR="00BD28EC" w:rsidRPr="00356AA1">
        <w:rPr>
          <w:rFonts w:cs="Arial"/>
          <w:color w:val="000000"/>
          <w:sz w:val="20"/>
          <w:lang w:eastAsia="en-GB"/>
        </w:rPr>
        <w:t>st remain</w:t>
      </w:r>
      <w:r w:rsidR="00440EBB">
        <w:rPr>
          <w:rFonts w:cs="Arial"/>
          <w:color w:val="000000"/>
          <w:sz w:val="20"/>
          <w:lang w:eastAsia="en-GB"/>
        </w:rPr>
        <w:t>s a</w:t>
      </w:r>
      <w:r w:rsidR="00BD28EC" w:rsidRPr="00356AA1">
        <w:rPr>
          <w:rFonts w:cs="Arial"/>
          <w:color w:val="000000"/>
          <w:sz w:val="20"/>
          <w:lang w:eastAsia="en-GB"/>
        </w:rPr>
        <w:t xml:space="preserve"> zero-sum exercise. </w:t>
      </w:r>
    </w:p>
    <w:p w:rsidR="00FF4737" w:rsidRPr="00356AA1" w:rsidRDefault="00BD6BB6">
      <w:pPr>
        <w:pStyle w:val="SingleTxtG"/>
        <w:rPr>
          <w:rFonts w:cs="Arial"/>
          <w:color w:val="000000"/>
          <w:sz w:val="20"/>
          <w:lang w:eastAsia="en-GB"/>
        </w:rPr>
      </w:pPr>
      <w:r w:rsidRPr="00356AA1">
        <w:rPr>
          <w:rFonts w:cs="Arial"/>
          <w:color w:val="000000"/>
          <w:sz w:val="20"/>
          <w:lang w:eastAsia="en-GB"/>
        </w:rPr>
        <w:lastRenderedPageBreak/>
        <w:t>7</w:t>
      </w:r>
      <w:r w:rsidR="0042434E">
        <w:rPr>
          <w:rFonts w:cs="Arial"/>
          <w:color w:val="000000"/>
          <w:sz w:val="20"/>
          <w:lang w:eastAsia="en-GB"/>
        </w:rPr>
        <w:t>2</w:t>
      </w:r>
      <w:r w:rsidRPr="00356AA1">
        <w:rPr>
          <w:rFonts w:cs="Arial"/>
          <w:color w:val="000000"/>
          <w:sz w:val="20"/>
          <w:lang w:eastAsia="en-GB"/>
        </w:rPr>
        <w:t>.</w:t>
      </w:r>
      <w:r w:rsidRPr="00356AA1">
        <w:rPr>
          <w:rFonts w:cs="Arial"/>
          <w:color w:val="000000"/>
          <w:sz w:val="20"/>
          <w:lang w:eastAsia="en-GB"/>
        </w:rPr>
        <w:tab/>
        <w:t>Other countries coping with past abuses have established reparations program</w:t>
      </w:r>
      <w:r w:rsidR="00440EBB">
        <w:rPr>
          <w:rFonts w:cs="Arial"/>
          <w:color w:val="000000"/>
          <w:sz w:val="20"/>
          <w:lang w:eastAsia="en-GB"/>
        </w:rPr>
        <w:t>me</w:t>
      </w:r>
      <w:r w:rsidRPr="00356AA1">
        <w:rPr>
          <w:rFonts w:cs="Arial"/>
          <w:color w:val="000000"/>
          <w:sz w:val="20"/>
          <w:lang w:eastAsia="en-GB"/>
        </w:rPr>
        <w:t>s, demobilization initiatives and crime compensation program</w:t>
      </w:r>
      <w:r w:rsidR="00440EBB">
        <w:rPr>
          <w:rFonts w:cs="Arial"/>
          <w:color w:val="000000"/>
          <w:sz w:val="20"/>
          <w:lang w:eastAsia="en-GB"/>
        </w:rPr>
        <w:t>me</w:t>
      </w:r>
      <w:r w:rsidRPr="00356AA1">
        <w:rPr>
          <w:rFonts w:cs="Arial"/>
          <w:color w:val="000000"/>
          <w:sz w:val="20"/>
          <w:lang w:eastAsia="en-GB"/>
        </w:rPr>
        <w:t xml:space="preserve">s, each with </w:t>
      </w:r>
      <w:r w:rsidR="00440EBB">
        <w:rPr>
          <w:rFonts w:cs="Arial"/>
          <w:color w:val="000000"/>
          <w:sz w:val="20"/>
          <w:lang w:eastAsia="en-GB"/>
        </w:rPr>
        <w:t>clear</w:t>
      </w:r>
      <w:r w:rsidRPr="00356AA1">
        <w:rPr>
          <w:rFonts w:cs="Arial"/>
          <w:color w:val="000000"/>
          <w:sz w:val="20"/>
          <w:lang w:eastAsia="en-GB"/>
        </w:rPr>
        <w:t xml:space="preserve"> aims and criteria of eligibility. </w:t>
      </w:r>
      <w:r w:rsidR="00440EBB">
        <w:rPr>
          <w:rFonts w:cs="Arial"/>
          <w:color w:val="000000"/>
          <w:sz w:val="20"/>
          <w:lang w:eastAsia="en-GB"/>
        </w:rPr>
        <w:t>D</w:t>
      </w:r>
      <w:r w:rsidRPr="00356AA1">
        <w:rPr>
          <w:rFonts w:cs="Arial"/>
          <w:color w:val="000000"/>
          <w:sz w:val="20"/>
          <w:lang w:eastAsia="en-GB"/>
        </w:rPr>
        <w:t xml:space="preserve">iscussions </w:t>
      </w:r>
      <w:r w:rsidR="00440EBB" w:rsidRPr="00EE30DE">
        <w:rPr>
          <w:rFonts w:cs="Arial"/>
          <w:color w:val="000000"/>
          <w:sz w:val="20"/>
          <w:lang w:eastAsia="en-GB"/>
        </w:rPr>
        <w:t xml:space="preserve">in </w:t>
      </w:r>
      <w:r w:rsidR="00440EBB" w:rsidRPr="00EE30DE">
        <w:rPr>
          <w:sz w:val="20"/>
        </w:rPr>
        <w:t xml:space="preserve">Northern Ireland </w:t>
      </w:r>
      <w:r w:rsidR="00440EBB">
        <w:rPr>
          <w:rFonts w:cs="Arial"/>
          <w:color w:val="000000"/>
          <w:sz w:val="20"/>
          <w:lang w:eastAsia="en-GB"/>
        </w:rPr>
        <w:t>on</w:t>
      </w:r>
      <w:r w:rsidRPr="00356AA1">
        <w:rPr>
          <w:rFonts w:cs="Arial"/>
          <w:color w:val="000000"/>
          <w:sz w:val="20"/>
          <w:lang w:eastAsia="en-GB"/>
        </w:rPr>
        <w:t xml:space="preserve"> </w:t>
      </w:r>
      <w:r w:rsidR="00440EBB">
        <w:rPr>
          <w:rFonts w:cs="Arial"/>
          <w:color w:val="000000"/>
          <w:sz w:val="20"/>
          <w:lang w:eastAsia="en-GB"/>
        </w:rPr>
        <w:t xml:space="preserve">the issue of </w:t>
      </w:r>
      <w:r w:rsidRPr="00356AA1">
        <w:rPr>
          <w:rFonts w:cs="Arial"/>
          <w:color w:val="000000"/>
          <w:sz w:val="20"/>
          <w:lang w:eastAsia="en-GB"/>
        </w:rPr>
        <w:t xml:space="preserve">compensation conflate </w:t>
      </w:r>
      <w:r w:rsidR="00440EBB">
        <w:rPr>
          <w:rFonts w:cs="Arial"/>
          <w:color w:val="000000"/>
          <w:sz w:val="20"/>
          <w:lang w:eastAsia="en-GB"/>
        </w:rPr>
        <w:t xml:space="preserve">the </w:t>
      </w:r>
      <w:r w:rsidRPr="00356AA1">
        <w:rPr>
          <w:rFonts w:cs="Arial"/>
          <w:color w:val="000000"/>
          <w:sz w:val="20"/>
          <w:lang w:eastAsia="en-GB"/>
        </w:rPr>
        <w:t>characteristics of all these program</w:t>
      </w:r>
      <w:r w:rsidR="00440EBB">
        <w:rPr>
          <w:rFonts w:cs="Arial"/>
          <w:color w:val="000000"/>
          <w:sz w:val="20"/>
          <w:lang w:eastAsia="en-GB"/>
        </w:rPr>
        <w:t>me</w:t>
      </w:r>
      <w:r w:rsidRPr="00356AA1">
        <w:rPr>
          <w:rFonts w:cs="Arial"/>
          <w:color w:val="000000"/>
          <w:sz w:val="20"/>
          <w:lang w:eastAsia="en-GB"/>
        </w:rPr>
        <w:t>s</w:t>
      </w:r>
      <w:r w:rsidR="001E087F">
        <w:rPr>
          <w:rFonts w:cs="Arial"/>
          <w:color w:val="000000"/>
          <w:sz w:val="20"/>
          <w:lang w:eastAsia="en-GB"/>
        </w:rPr>
        <w:t>,</w:t>
      </w:r>
      <w:r w:rsidRPr="00356AA1">
        <w:rPr>
          <w:rFonts w:cs="Arial"/>
          <w:color w:val="000000"/>
          <w:sz w:val="20"/>
          <w:lang w:eastAsia="en-GB"/>
        </w:rPr>
        <w:t xml:space="preserve"> with results that have been far from positive.</w:t>
      </w:r>
    </w:p>
    <w:p w:rsidR="00FF4737" w:rsidRPr="00356AA1" w:rsidRDefault="00BD6BB6">
      <w:pPr>
        <w:pStyle w:val="SingleTxtG"/>
        <w:rPr>
          <w:rFonts w:cs="Arial"/>
          <w:color w:val="000000"/>
          <w:sz w:val="20"/>
          <w:lang w:eastAsia="en-GB"/>
        </w:rPr>
      </w:pPr>
      <w:r w:rsidRPr="00356AA1">
        <w:rPr>
          <w:rFonts w:cs="Arial"/>
          <w:color w:val="000000"/>
          <w:sz w:val="20"/>
          <w:lang w:eastAsia="en-GB"/>
        </w:rPr>
        <w:t>7</w:t>
      </w:r>
      <w:r w:rsidR="0042434E">
        <w:rPr>
          <w:rFonts w:cs="Arial"/>
          <w:color w:val="000000"/>
          <w:sz w:val="20"/>
          <w:lang w:eastAsia="en-GB"/>
        </w:rPr>
        <w:t>3</w:t>
      </w:r>
      <w:r w:rsidRPr="00356AA1">
        <w:rPr>
          <w:rFonts w:cs="Arial"/>
          <w:color w:val="000000"/>
          <w:sz w:val="20"/>
          <w:lang w:eastAsia="en-GB"/>
        </w:rPr>
        <w:t>.</w:t>
      </w:r>
      <w:r w:rsidRPr="00356AA1">
        <w:rPr>
          <w:rFonts w:cs="Arial"/>
          <w:color w:val="000000"/>
          <w:sz w:val="20"/>
          <w:lang w:eastAsia="en-GB"/>
        </w:rPr>
        <w:tab/>
      </w:r>
      <w:r w:rsidR="00F94050">
        <w:rPr>
          <w:rFonts w:cs="Arial"/>
          <w:color w:val="000000"/>
          <w:sz w:val="20"/>
          <w:lang w:eastAsia="en-GB"/>
        </w:rPr>
        <w:t xml:space="preserve">In establishing </w:t>
      </w:r>
      <w:r w:rsidRPr="00356AA1">
        <w:rPr>
          <w:rFonts w:cs="Arial"/>
          <w:color w:val="000000"/>
          <w:sz w:val="20"/>
          <w:lang w:eastAsia="en-GB"/>
        </w:rPr>
        <w:t>reparations</w:t>
      </w:r>
      <w:r w:rsidR="00F94050">
        <w:rPr>
          <w:rFonts w:cs="Arial"/>
          <w:color w:val="000000"/>
          <w:sz w:val="20"/>
          <w:lang w:eastAsia="en-GB"/>
        </w:rPr>
        <w:t xml:space="preserve"> programmes</w:t>
      </w:r>
      <w:r w:rsidRPr="00356AA1">
        <w:rPr>
          <w:rFonts w:cs="Arial"/>
          <w:color w:val="000000"/>
          <w:sz w:val="20"/>
          <w:lang w:eastAsia="en-GB"/>
        </w:rPr>
        <w:t xml:space="preserve">, </w:t>
      </w:r>
      <w:r w:rsidR="00F94050">
        <w:rPr>
          <w:rFonts w:cs="Arial"/>
          <w:color w:val="000000"/>
          <w:sz w:val="20"/>
          <w:lang w:eastAsia="en-GB"/>
        </w:rPr>
        <w:t>most</w:t>
      </w:r>
      <w:r w:rsidRPr="00356AA1">
        <w:rPr>
          <w:rFonts w:cs="Arial"/>
          <w:color w:val="000000"/>
          <w:sz w:val="20"/>
          <w:lang w:eastAsia="en-GB"/>
        </w:rPr>
        <w:t xml:space="preserve"> countries steer away from </w:t>
      </w:r>
      <w:r w:rsidR="00F94050">
        <w:rPr>
          <w:rFonts w:cs="Arial"/>
          <w:color w:val="000000"/>
          <w:sz w:val="20"/>
          <w:lang w:eastAsia="en-GB"/>
        </w:rPr>
        <w:t>debates over</w:t>
      </w:r>
      <w:r w:rsidRPr="00356AA1">
        <w:rPr>
          <w:rFonts w:cs="Arial"/>
          <w:color w:val="000000"/>
          <w:sz w:val="20"/>
          <w:lang w:eastAsia="en-GB"/>
        </w:rPr>
        <w:t xml:space="preserve"> the definition of </w:t>
      </w:r>
      <w:r w:rsidR="001E087F">
        <w:rPr>
          <w:rFonts w:cs="Arial"/>
          <w:color w:val="000000"/>
          <w:sz w:val="20"/>
          <w:lang w:eastAsia="en-GB"/>
        </w:rPr>
        <w:t>“</w:t>
      </w:r>
      <w:r w:rsidRPr="00356AA1">
        <w:rPr>
          <w:rFonts w:cs="Arial"/>
          <w:color w:val="000000"/>
          <w:sz w:val="20"/>
          <w:lang w:eastAsia="en-GB"/>
        </w:rPr>
        <w:t>victim</w:t>
      </w:r>
      <w:r w:rsidR="001E087F">
        <w:rPr>
          <w:rFonts w:cs="Arial"/>
          <w:color w:val="000000"/>
          <w:sz w:val="20"/>
          <w:lang w:eastAsia="en-GB"/>
        </w:rPr>
        <w:t>”</w:t>
      </w:r>
      <w:r w:rsidRPr="00356AA1">
        <w:rPr>
          <w:rFonts w:cs="Arial"/>
          <w:color w:val="000000"/>
          <w:sz w:val="20"/>
          <w:lang w:eastAsia="en-GB"/>
        </w:rPr>
        <w:t xml:space="preserve">. </w:t>
      </w:r>
      <w:r w:rsidR="001E087F">
        <w:rPr>
          <w:rFonts w:cs="Arial"/>
          <w:color w:val="000000"/>
          <w:sz w:val="20"/>
          <w:lang w:eastAsia="en-GB"/>
        </w:rPr>
        <w:t xml:space="preserve">In accordance </w:t>
      </w:r>
      <w:r w:rsidRPr="00356AA1">
        <w:rPr>
          <w:rFonts w:cs="Arial"/>
          <w:color w:val="000000"/>
          <w:sz w:val="20"/>
          <w:lang w:eastAsia="en-GB"/>
        </w:rPr>
        <w:t xml:space="preserve">with broad human rights concepts, such as that all </w:t>
      </w:r>
      <w:r w:rsidR="00F94050">
        <w:rPr>
          <w:rFonts w:cs="Arial"/>
          <w:color w:val="000000"/>
          <w:sz w:val="20"/>
          <w:lang w:eastAsia="en-GB"/>
        </w:rPr>
        <w:t>persons</w:t>
      </w:r>
      <w:r w:rsidRPr="00356AA1">
        <w:rPr>
          <w:rFonts w:cs="Arial"/>
          <w:color w:val="000000"/>
          <w:sz w:val="20"/>
          <w:lang w:eastAsia="en-GB"/>
        </w:rPr>
        <w:t xml:space="preserve"> have human rights, questions about affiliation, past behaviour or identity (</w:t>
      </w:r>
      <w:r w:rsidR="001E087F">
        <w:rPr>
          <w:rFonts w:cs="Arial"/>
          <w:color w:val="000000"/>
          <w:sz w:val="20"/>
          <w:lang w:eastAsia="en-GB"/>
        </w:rPr>
        <w:t>whether</w:t>
      </w:r>
      <w:r w:rsidR="001E087F" w:rsidRPr="00356AA1">
        <w:rPr>
          <w:rFonts w:cs="Arial"/>
          <w:color w:val="000000"/>
          <w:sz w:val="20"/>
          <w:lang w:eastAsia="en-GB"/>
        </w:rPr>
        <w:t xml:space="preserve"> </w:t>
      </w:r>
      <w:r w:rsidRPr="00356AA1">
        <w:rPr>
          <w:rFonts w:cs="Arial"/>
          <w:color w:val="000000"/>
          <w:sz w:val="20"/>
          <w:lang w:eastAsia="en-GB"/>
        </w:rPr>
        <w:t xml:space="preserve">of </w:t>
      </w:r>
      <w:r w:rsidR="001E087F">
        <w:rPr>
          <w:rFonts w:cs="Arial"/>
          <w:color w:val="000000"/>
          <w:sz w:val="20"/>
          <w:lang w:eastAsia="en-GB"/>
        </w:rPr>
        <w:t xml:space="preserve">the </w:t>
      </w:r>
      <w:r w:rsidRPr="00356AA1">
        <w:rPr>
          <w:rFonts w:cs="Arial"/>
          <w:color w:val="000000"/>
          <w:sz w:val="20"/>
          <w:lang w:eastAsia="en-GB"/>
        </w:rPr>
        <w:t xml:space="preserve">perpetrator or </w:t>
      </w:r>
      <w:r w:rsidR="001E087F">
        <w:rPr>
          <w:rFonts w:cs="Arial"/>
          <w:color w:val="000000"/>
          <w:sz w:val="20"/>
          <w:lang w:eastAsia="en-GB"/>
        </w:rPr>
        <w:t xml:space="preserve">the </w:t>
      </w:r>
      <w:r w:rsidRPr="00356AA1">
        <w:rPr>
          <w:rFonts w:cs="Arial"/>
          <w:color w:val="000000"/>
          <w:sz w:val="20"/>
          <w:lang w:eastAsia="en-GB"/>
        </w:rPr>
        <w:t xml:space="preserve">victim) are </w:t>
      </w:r>
      <w:r w:rsidR="001E087F">
        <w:rPr>
          <w:rFonts w:cs="Arial"/>
          <w:color w:val="000000"/>
          <w:sz w:val="20"/>
          <w:lang w:eastAsia="en-GB"/>
        </w:rPr>
        <w:t xml:space="preserve">considered </w:t>
      </w:r>
      <w:r w:rsidRPr="00356AA1">
        <w:rPr>
          <w:rFonts w:cs="Arial"/>
          <w:color w:val="000000"/>
          <w:sz w:val="20"/>
          <w:lang w:eastAsia="en-GB"/>
        </w:rPr>
        <w:t xml:space="preserve">irrelevant and </w:t>
      </w:r>
      <w:r w:rsidR="001E087F">
        <w:rPr>
          <w:rFonts w:cs="Arial"/>
          <w:color w:val="000000"/>
          <w:sz w:val="20"/>
          <w:lang w:eastAsia="en-GB"/>
        </w:rPr>
        <w:t>set</w:t>
      </w:r>
      <w:r w:rsidRPr="00356AA1">
        <w:rPr>
          <w:rFonts w:cs="Arial"/>
          <w:color w:val="000000"/>
          <w:sz w:val="20"/>
          <w:lang w:eastAsia="en-GB"/>
        </w:rPr>
        <w:t xml:space="preserve"> aside.</w:t>
      </w:r>
      <w:r w:rsidRPr="001E087F">
        <w:rPr>
          <w:rStyle w:val="FootnoteReference"/>
          <w:rFonts w:cs="Arial"/>
          <w:color w:val="000000"/>
          <w:szCs w:val="18"/>
          <w:lang w:eastAsia="en-GB"/>
        </w:rPr>
        <w:footnoteReference w:id="21"/>
      </w:r>
      <w:r w:rsidRPr="00356AA1">
        <w:rPr>
          <w:rFonts w:cs="Arial"/>
          <w:color w:val="000000"/>
          <w:sz w:val="20"/>
          <w:lang w:eastAsia="en-GB"/>
        </w:rPr>
        <w:t xml:space="preserve"> </w:t>
      </w:r>
    </w:p>
    <w:p w:rsidR="00FF4737" w:rsidRPr="00356AA1" w:rsidRDefault="00BD6BB6">
      <w:pPr>
        <w:pStyle w:val="SingleTxtG"/>
        <w:rPr>
          <w:sz w:val="20"/>
        </w:rPr>
      </w:pPr>
      <w:r w:rsidRPr="00356AA1">
        <w:rPr>
          <w:sz w:val="20"/>
        </w:rPr>
        <w:t>7</w:t>
      </w:r>
      <w:r w:rsidR="0042434E">
        <w:rPr>
          <w:sz w:val="20"/>
        </w:rPr>
        <w:t>4</w:t>
      </w:r>
      <w:r w:rsidRPr="00356AA1">
        <w:rPr>
          <w:sz w:val="20"/>
        </w:rPr>
        <w:t>.</w:t>
      </w:r>
      <w:r w:rsidRPr="00356AA1">
        <w:rPr>
          <w:sz w:val="20"/>
        </w:rPr>
        <w:tab/>
        <w:t>Since most reparations program</w:t>
      </w:r>
      <w:r w:rsidR="001E087F">
        <w:rPr>
          <w:sz w:val="20"/>
        </w:rPr>
        <w:t>me</w:t>
      </w:r>
      <w:r w:rsidRPr="00356AA1">
        <w:rPr>
          <w:sz w:val="20"/>
        </w:rPr>
        <w:t xml:space="preserve">s adopt a relatively straightforward guiding definition of </w:t>
      </w:r>
      <w:r w:rsidR="001E087F">
        <w:rPr>
          <w:sz w:val="20"/>
        </w:rPr>
        <w:t>“</w:t>
      </w:r>
      <w:r w:rsidRPr="00356AA1">
        <w:rPr>
          <w:sz w:val="20"/>
        </w:rPr>
        <w:t>victim</w:t>
      </w:r>
      <w:r w:rsidR="001E087F">
        <w:rPr>
          <w:sz w:val="20"/>
        </w:rPr>
        <w:t>”</w:t>
      </w:r>
      <w:r w:rsidRPr="00356AA1">
        <w:rPr>
          <w:sz w:val="20"/>
        </w:rPr>
        <w:t xml:space="preserve">, </w:t>
      </w:r>
      <w:r w:rsidR="005C74CA">
        <w:rPr>
          <w:sz w:val="20"/>
        </w:rPr>
        <w:t>the persons</w:t>
      </w:r>
      <w:r w:rsidR="005C74CA" w:rsidRPr="00356AA1">
        <w:rPr>
          <w:sz w:val="20"/>
        </w:rPr>
        <w:t xml:space="preserve"> </w:t>
      </w:r>
      <w:r w:rsidR="005C74CA">
        <w:rPr>
          <w:sz w:val="20"/>
        </w:rPr>
        <w:t xml:space="preserve">to be considered eligible for </w:t>
      </w:r>
      <w:r w:rsidRPr="00356AA1">
        <w:rPr>
          <w:sz w:val="20"/>
        </w:rPr>
        <w:t xml:space="preserve">reparations </w:t>
      </w:r>
      <w:r w:rsidR="005C74CA">
        <w:rPr>
          <w:sz w:val="20"/>
        </w:rPr>
        <w:t>are established when the “</w:t>
      </w:r>
      <w:r w:rsidRPr="00356AA1">
        <w:rPr>
          <w:sz w:val="20"/>
        </w:rPr>
        <w:t>beneficiary</w:t>
      </w:r>
      <w:r w:rsidR="005C74CA">
        <w:rPr>
          <w:sz w:val="20"/>
        </w:rPr>
        <w:t>” is defined</w:t>
      </w:r>
      <w:r w:rsidRPr="00356AA1">
        <w:rPr>
          <w:sz w:val="20"/>
        </w:rPr>
        <w:t>.</w:t>
      </w:r>
      <w:r w:rsidR="00781044">
        <w:rPr>
          <w:sz w:val="20"/>
        </w:rPr>
        <w:t xml:space="preserve"> </w:t>
      </w:r>
      <w:r w:rsidRPr="00356AA1">
        <w:rPr>
          <w:sz w:val="20"/>
        </w:rPr>
        <w:t xml:space="preserve">Although </w:t>
      </w:r>
      <w:r w:rsidR="00F94050">
        <w:rPr>
          <w:sz w:val="20"/>
        </w:rPr>
        <w:t>the term is</w:t>
      </w:r>
      <w:r w:rsidR="005C74CA">
        <w:rPr>
          <w:sz w:val="20"/>
        </w:rPr>
        <w:t xml:space="preserve"> </w:t>
      </w:r>
      <w:r w:rsidRPr="00356AA1">
        <w:rPr>
          <w:sz w:val="20"/>
        </w:rPr>
        <w:t xml:space="preserve">not </w:t>
      </w:r>
      <w:r w:rsidR="005C74CA">
        <w:rPr>
          <w:sz w:val="20"/>
        </w:rPr>
        <w:t>above dispute</w:t>
      </w:r>
      <w:r w:rsidR="00F94050">
        <w:rPr>
          <w:sz w:val="20"/>
        </w:rPr>
        <w:t xml:space="preserve"> either</w:t>
      </w:r>
      <w:r w:rsidRPr="00356AA1">
        <w:rPr>
          <w:sz w:val="20"/>
        </w:rPr>
        <w:t xml:space="preserve">, </w:t>
      </w:r>
      <w:r w:rsidR="005C74CA">
        <w:rPr>
          <w:sz w:val="20"/>
        </w:rPr>
        <w:t>it</w:t>
      </w:r>
      <w:r w:rsidRPr="00356AA1">
        <w:rPr>
          <w:sz w:val="20"/>
        </w:rPr>
        <w:t xml:space="preserve"> is </w:t>
      </w:r>
      <w:r w:rsidR="00F94050">
        <w:rPr>
          <w:sz w:val="20"/>
        </w:rPr>
        <w:t>not freighted with the same evaluative complications as the term “victim”</w:t>
      </w:r>
      <w:r w:rsidRPr="00356AA1">
        <w:rPr>
          <w:sz w:val="20"/>
        </w:rPr>
        <w:t>.</w:t>
      </w:r>
      <w:r w:rsidR="00781044">
        <w:rPr>
          <w:sz w:val="20"/>
        </w:rPr>
        <w:t xml:space="preserve"> </w:t>
      </w:r>
    </w:p>
    <w:p w:rsidR="00FF4737" w:rsidRPr="00356AA1" w:rsidRDefault="00BD6BB6">
      <w:pPr>
        <w:pStyle w:val="SingleTxtG"/>
        <w:rPr>
          <w:sz w:val="20"/>
        </w:rPr>
      </w:pPr>
      <w:r w:rsidRPr="00356AA1">
        <w:rPr>
          <w:sz w:val="20"/>
        </w:rPr>
        <w:t>7</w:t>
      </w:r>
      <w:r w:rsidR="0042434E">
        <w:rPr>
          <w:sz w:val="20"/>
        </w:rPr>
        <w:t>5</w:t>
      </w:r>
      <w:r w:rsidRPr="00356AA1">
        <w:rPr>
          <w:sz w:val="20"/>
        </w:rPr>
        <w:t>.</w:t>
      </w:r>
      <w:r w:rsidRPr="00356AA1">
        <w:rPr>
          <w:sz w:val="20"/>
        </w:rPr>
        <w:tab/>
        <w:t>Ideally, the sole criterion trigger</w:t>
      </w:r>
      <w:r w:rsidR="001223AF">
        <w:rPr>
          <w:sz w:val="20"/>
        </w:rPr>
        <w:t>ing</w:t>
      </w:r>
      <w:r w:rsidRPr="00356AA1">
        <w:rPr>
          <w:sz w:val="20"/>
        </w:rPr>
        <w:t xml:space="preserve"> </w:t>
      </w:r>
      <w:r w:rsidR="001223AF">
        <w:rPr>
          <w:sz w:val="20"/>
        </w:rPr>
        <w:t xml:space="preserve">eligibility for </w:t>
      </w:r>
      <w:r w:rsidRPr="00356AA1">
        <w:rPr>
          <w:sz w:val="20"/>
        </w:rPr>
        <w:t xml:space="preserve">reparations is having been a victim of a human rights violation (or where relevant, international humanitarian law violation). Since human rights protections are indifferent to </w:t>
      </w:r>
      <w:r w:rsidR="00B61EA6">
        <w:rPr>
          <w:sz w:val="20"/>
        </w:rPr>
        <w:t>the</w:t>
      </w:r>
      <w:r w:rsidRPr="00356AA1">
        <w:rPr>
          <w:sz w:val="20"/>
        </w:rPr>
        <w:t xml:space="preserve"> identity, affiliation</w:t>
      </w:r>
      <w:r w:rsidR="001223AF">
        <w:rPr>
          <w:sz w:val="20"/>
        </w:rPr>
        <w:t xml:space="preserve"> and</w:t>
      </w:r>
      <w:r w:rsidRPr="00356AA1">
        <w:rPr>
          <w:sz w:val="20"/>
        </w:rPr>
        <w:t xml:space="preserve"> even past behaviour</w:t>
      </w:r>
      <w:r w:rsidR="00B61EA6">
        <w:rPr>
          <w:sz w:val="20"/>
        </w:rPr>
        <w:t xml:space="preserve"> of the person concerned</w:t>
      </w:r>
      <w:r w:rsidRPr="00356AA1">
        <w:rPr>
          <w:sz w:val="20"/>
        </w:rPr>
        <w:t>, a program</w:t>
      </w:r>
      <w:r w:rsidR="00B61EA6">
        <w:rPr>
          <w:sz w:val="20"/>
        </w:rPr>
        <w:t>me</w:t>
      </w:r>
      <w:r w:rsidRPr="00356AA1">
        <w:rPr>
          <w:sz w:val="20"/>
        </w:rPr>
        <w:t xml:space="preserve"> that </w:t>
      </w:r>
      <w:r w:rsidR="00B61EA6">
        <w:rPr>
          <w:sz w:val="20"/>
        </w:rPr>
        <w:t>adopts</w:t>
      </w:r>
      <w:r w:rsidR="00B61EA6" w:rsidRPr="00356AA1">
        <w:rPr>
          <w:sz w:val="20"/>
        </w:rPr>
        <w:t xml:space="preserve"> </w:t>
      </w:r>
      <w:r w:rsidRPr="00356AA1">
        <w:rPr>
          <w:sz w:val="20"/>
        </w:rPr>
        <w:t xml:space="preserve">this notion would not </w:t>
      </w:r>
      <w:r w:rsidR="00B61EA6">
        <w:rPr>
          <w:sz w:val="20"/>
        </w:rPr>
        <w:t>pr</w:t>
      </w:r>
      <w:r w:rsidRPr="00356AA1">
        <w:rPr>
          <w:sz w:val="20"/>
        </w:rPr>
        <w:t xml:space="preserve">eclude anyone on </w:t>
      </w:r>
      <w:r w:rsidR="00F94050">
        <w:rPr>
          <w:sz w:val="20"/>
        </w:rPr>
        <w:t>these grounds</w:t>
      </w:r>
      <w:r w:rsidRPr="00356AA1">
        <w:rPr>
          <w:sz w:val="20"/>
        </w:rPr>
        <w:t>. Part of the socially integrative power of reparations program</w:t>
      </w:r>
      <w:r w:rsidR="00B61EA6">
        <w:rPr>
          <w:sz w:val="20"/>
        </w:rPr>
        <w:t>me</w:t>
      </w:r>
      <w:r w:rsidRPr="00356AA1">
        <w:rPr>
          <w:sz w:val="20"/>
        </w:rPr>
        <w:t>s (</w:t>
      </w:r>
      <w:r w:rsidR="00B61EA6">
        <w:rPr>
          <w:sz w:val="20"/>
        </w:rPr>
        <w:t xml:space="preserve">like </w:t>
      </w:r>
      <w:r w:rsidRPr="00356AA1">
        <w:rPr>
          <w:sz w:val="20"/>
        </w:rPr>
        <w:t xml:space="preserve">of other transitional justice measures) depends precisely on how they </w:t>
      </w:r>
      <w:r w:rsidR="00B61EA6">
        <w:rPr>
          <w:sz w:val="20"/>
        </w:rPr>
        <w:t>highlight</w:t>
      </w:r>
      <w:r w:rsidR="00B61EA6" w:rsidRPr="00356AA1">
        <w:rPr>
          <w:sz w:val="20"/>
        </w:rPr>
        <w:t xml:space="preserve"> </w:t>
      </w:r>
      <w:r w:rsidRPr="00356AA1">
        <w:rPr>
          <w:sz w:val="20"/>
        </w:rPr>
        <w:t>the overriding importance of rights.</w:t>
      </w:r>
      <w:r w:rsidRPr="00B61EA6">
        <w:rPr>
          <w:rStyle w:val="FootnoteReference"/>
          <w:szCs w:val="18"/>
        </w:rPr>
        <w:footnoteReference w:id="22"/>
      </w:r>
    </w:p>
    <w:p w:rsidR="00FF4737" w:rsidRPr="00FF4737" w:rsidRDefault="00BD6BB6">
      <w:pPr>
        <w:pStyle w:val="SingleTxtG"/>
      </w:pPr>
      <w:r w:rsidRPr="00356AA1">
        <w:rPr>
          <w:sz w:val="20"/>
        </w:rPr>
        <w:t>7</w:t>
      </w:r>
      <w:r w:rsidR="0042434E">
        <w:rPr>
          <w:sz w:val="20"/>
        </w:rPr>
        <w:t>6</w:t>
      </w:r>
      <w:r w:rsidRPr="00356AA1">
        <w:rPr>
          <w:sz w:val="20"/>
        </w:rPr>
        <w:t>.</w:t>
      </w:r>
      <w:r w:rsidRPr="00356AA1">
        <w:rPr>
          <w:sz w:val="20"/>
        </w:rPr>
        <w:tab/>
      </w:r>
      <w:r w:rsidR="00811556">
        <w:rPr>
          <w:sz w:val="20"/>
        </w:rPr>
        <w:t>While a</w:t>
      </w:r>
      <w:r w:rsidRPr="00356AA1">
        <w:rPr>
          <w:sz w:val="20"/>
        </w:rPr>
        <w:t xml:space="preserve"> reparation</w:t>
      </w:r>
      <w:r w:rsidR="00166192">
        <w:rPr>
          <w:sz w:val="20"/>
        </w:rPr>
        <w:t>s</w:t>
      </w:r>
      <w:r w:rsidRPr="00356AA1">
        <w:rPr>
          <w:sz w:val="20"/>
        </w:rPr>
        <w:t xml:space="preserve"> program</w:t>
      </w:r>
      <w:r w:rsidR="00166192">
        <w:rPr>
          <w:sz w:val="20"/>
        </w:rPr>
        <w:t>me</w:t>
      </w:r>
      <w:r w:rsidRPr="00356AA1">
        <w:rPr>
          <w:sz w:val="20"/>
        </w:rPr>
        <w:t xml:space="preserve"> </w:t>
      </w:r>
      <w:r w:rsidR="00811556">
        <w:rPr>
          <w:sz w:val="20"/>
        </w:rPr>
        <w:t>sh</w:t>
      </w:r>
      <w:r w:rsidRPr="00356AA1">
        <w:rPr>
          <w:sz w:val="20"/>
        </w:rPr>
        <w:t>ould focus on and take care of the victims of human rights violations</w:t>
      </w:r>
      <w:r w:rsidR="00811556">
        <w:rPr>
          <w:sz w:val="20"/>
        </w:rPr>
        <w:t>, s</w:t>
      </w:r>
      <w:r w:rsidRPr="00356AA1">
        <w:rPr>
          <w:sz w:val="20"/>
        </w:rPr>
        <w:t>eparate program</w:t>
      </w:r>
      <w:r w:rsidR="00055856">
        <w:rPr>
          <w:sz w:val="20"/>
        </w:rPr>
        <w:t>me</w:t>
      </w:r>
      <w:r w:rsidRPr="00356AA1">
        <w:rPr>
          <w:sz w:val="20"/>
        </w:rPr>
        <w:t>s would address the needs of, for example, ex-combatants with disabilities (whose injuries were not the result of human rights violations). None of this precludes the establishment of parallel program</w:t>
      </w:r>
      <w:r w:rsidR="00055856">
        <w:rPr>
          <w:sz w:val="20"/>
        </w:rPr>
        <w:t>me</w:t>
      </w:r>
      <w:r w:rsidRPr="00356AA1">
        <w:rPr>
          <w:sz w:val="20"/>
        </w:rPr>
        <w:t>s offering benefits to victims of crime (</w:t>
      </w:r>
      <w:r w:rsidR="00055856">
        <w:rPr>
          <w:sz w:val="20"/>
        </w:rPr>
        <w:t xml:space="preserve">not constituting </w:t>
      </w:r>
      <w:r w:rsidRPr="00356AA1">
        <w:rPr>
          <w:sz w:val="20"/>
        </w:rPr>
        <w:t>human rights violations).</w:t>
      </w:r>
      <w:r w:rsidR="00781044">
        <w:t xml:space="preserve"> </w:t>
      </w:r>
    </w:p>
    <w:p w:rsidR="00FF4737" w:rsidRPr="00356AA1" w:rsidRDefault="00BD6BB6">
      <w:pPr>
        <w:pStyle w:val="SingleTxtG"/>
        <w:rPr>
          <w:sz w:val="20"/>
          <w:lang w:eastAsia="en-GB"/>
        </w:rPr>
      </w:pPr>
      <w:r w:rsidRPr="00356AA1">
        <w:rPr>
          <w:sz w:val="20"/>
          <w:lang w:eastAsia="en-GB"/>
        </w:rPr>
        <w:t>7</w:t>
      </w:r>
      <w:r w:rsidR="0042434E">
        <w:rPr>
          <w:sz w:val="20"/>
          <w:lang w:eastAsia="en-GB"/>
        </w:rPr>
        <w:t>7</w:t>
      </w:r>
      <w:r w:rsidRPr="00356AA1">
        <w:rPr>
          <w:sz w:val="20"/>
          <w:lang w:eastAsia="en-GB"/>
        </w:rPr>
        <w:t>.</w:t>
      </w:r>
      <w:r w:rsidRPr="00356AA1">
        <w:rPr>
          <w:sz w:val="20"/>
          <w:lang w:eastAsia="en-GB"/>
        </w:rPr>
        <w:tab/>
      </w:r>
      <w:r w:rsidR="00055856">
        <w:rPr>
          <w:sz w:val="20"/>
          <w:lang w:eastAsia="en-GB"/>
        </w:rPr>
        <w:t>The d</w:t>
      </w:r>
      <w:r w:rsidRPr="00356AA1">
        <w:rPr>
          <w:sz w:val="20"/>
          <w:lang w:eastAsia="en-GB"/>
        </w:rPr>
        <w:t>ifficulties faced by victims of the Troubles have been compounded by poverty and geograph</w:t>
      </w:r>
      <w:r w:rsidR="00055856">
        <w:rPr>
          <w:sz w:val="20"/>
          <w:lang w:eastAsia="en-GB"/>
        </w:rPr>
        <w:t>y</w:t>
      </w:r>
      <w:r w:rsidRPr="00356AA1">
        <w:rPr>
          <w:sz w:val="20"/>
          <w:lang w:eastAsia="en-GB"/>
        </w:rPr>
        <w:t xml:space="preserve">, particularly </w:t>
      </w:r>
      <w:r w:rsidR="00055856">
        <w:rPr>
          <w:sz w:val="20"/>
          <w:lang w:eastAsia="en-GB"/>
        </w:rPr>
        <w:t xml:space="preserve">those </w:t>
      </w:r>
      <w:r w:rsidRPr="00356AA1">
        <w:rPr>
          <w:sz w:val="20"/>
          <w:lang w:eastAsia="en-GB"/>
        </w:rPr>
        <w:t>in rural areas.</w:t>
      </w:r>
      <w:r w:rsidR="00781044">
        <w:rPr>
          <w:sz w:val="20"/>
          <w:lang w:eastAsia="en-GB"/>
        </w:rPr>
        <w:t xml:space="preserve"> </w:t>
      </w:r>
    </w:p>
    <w:p w:rsidR="00FF4737" w:rsidRPr="00356AA1" w:rsidRDefault="0042434E">
      <w:pPr>
        <w:pStyle w:val="SingleTxtG"/>
        <w:rPr>
          <w:sz w:val="20"/>
          <w:lang w:eastAsia="en-GB"/>
        </w:rPr>
      </w:pPr>
      <w:r>
        <w:rPr>
          <w:sz w:val="20"/>
          <w:lang w:eastAsia="en-GB"/>
        </w:rPr>
        <w:t>7</w:t>
      </w:r>
      <w:r w:rsidR="00BD6BB6" w:rsidRPr="00356AA1">
        <w:rPr>
          <w:sz w:val="20"/>
          <w:lang w:eastAsia="en-GB"/>
        </w:rPr>
        <w:t>8.</w:t>
      </w:r>
      <w:r w:rsidR="00BD6BB6" w:rsidRPr="00356AA1">
        <w:rPr>
          <w:sz w:val="20"/>
          <w:lang w:eastAsia="en-GB"/>
        </w:rPr>
        <w:tab/>
        <w:t>The lack of attention to the impact</w:t>
      </w:r>
      <w:r w:rsidR="00055856">
        <w:rPr>
          <w:sz w:val="20"/>
          <w:lang w:eastAsia="en-GB"/>
        </w:rPr>
        <w:t>, whether</w:t>
      </w:r>
      <w:r w:rsidR="00BD6BB6" w:rsidRPr="00356AA1">
        <w:rPr>
          <w:sz w:val="20"/>
          <w:lang w:eastAsia="en-GB"/>
        </w:rPr>
        <w:t xml:space="preserve"> </w:t>
      </w:r>
      <w:r w:rsidR="00055856" w:rsidRPr="00457A77">
        <w:rPr>
          <w:sz w:val="20"/>
          <w:lang w:eastAsia="en-GB"/>
        </w:rPr>
        <w:t xml:space="preserve">direct </w:t>
      </w:r>
      <w:r w:rsidR="00055856">
        <w:rPr>
          <w:sz w:val="20"/>
          <w:lang w:eastAsia="en-GB"/>
        </w:rPr>
        <w:t>or</w:t>
      </w:r>
      <w:r w:rsidR="00055856" w:rsidRPr="00457A77">
        <w:rPr>
          <w:sz w:val="20"/>
          <w:lang w:eastAsia="en-GB"/>
        </w:rPr>
        <w:t xml:space="preserve"> indirect</w:t>
      </w:r>
      <w:r w:rsidR="00055856">
        <w:rPr>
          <w:sz w:val="20"/>
          <w:lang w:eastAsia="en-GB"/>
        </w:rPr>
        <w:t>,</w:t>
      </w:r>
      <w:r w:rsidR="00055856" w:rsidRPr="00055856">
        <w:rPr>
          <w:sz w:val="20"/>
          <w:lang w:eastAsia="en-GB"/>
        </w:rPr>
        <w:t xml:space="preserve"> </w:t>
      </w:r>
      <w:r w:rsidR="00BD6BB6" w:rsidRPr="00356AA1">
        <w:rPr>
          <w:sz w:val="20"/>
          <w:lang w:eastAsia="en-GB"/>
        </w:rPr>
        <w:t xml:space="preserve">of the violence of the Troubles on women is </w:t>
      </w:r>
      <w:r w:rsidR="00055856">
        <w:rPr>
          <w:sz w:val="20"/>
          <w:lang w:eastAsia="en-GB"/>
        </w:rPr>
        <w:t xml:space="preserve">a </w:t>
      </w:r>
      <w:r w:rsidR="00BD6BB6" w:rsidRPr="00356AA1">
        <w:rPr>
          <w:sz w:val="20"/>
          <w:lang w:eastAsia="en-GB"/>
        </w:rPr>
        <w:t xml:space="preserve">particular concern. Since the violations and abuses, the hardships faced by women, many of whom have raised their families single-handedly with limited resources, have been exacerbated. While community groups </w:t>
      </w:r>
      <w:r w:rsidR="00055856">
        <w:rPr>
          <w:sz w:val="20"/>
          <w:lang w:eastAsia="en-GB"/>
        </w:rPr>
        <w:t xml:space="preserve">do </w:t>
      </w:r>
      <w:r w:rsidR="00BD6BB6" w:rsidRPr="00356AA1">
        <w:rPr>
          <w:sz w:val="20"/>
          <w:lang w:eastAsia="en-GB"/>
        </w:rPr>
        <w:t xml:space="preserve">provide some assistance, the State has not engaged in a thorough analysis or sustained effort to </w:t>
      </w:r>
      <w:r w:rsidR="00055856">
        <w:rPr>
          <w:sz w:val="20"/>
          <w:lang w:eastAsia="en-GB"/>
        </w:rPr>
        <w:t>address</w:t>
      </w:r>
      <w:r w:rsidR="00055856" w:rsidRPr="00356AA1">
        <w:rPr>
          <w:sz w:val="20"/>
          <w:lang w:eastAsia="en-GB"/>
        </w:rPr>
        <w:t xml:space="preserve"> </w:t>
      </w:r>
      <w:r w:rsidR="00BD6BB6" w:rsidRPr="00356AA1">
        <w:rPr>
          <w:sz w:val="20"/>
          <w:lang w:eastAsia="en-GB"/>
        </w:rPr>
        <w:t xml:space="preserve">the gender-related dimensions of violations and abuses. </w:t>
      </w:r>
    </w:p>
    <w:p w:rsidR="00FF4737" w:rsidRPr="00356AA1" w:rsidRDefault="0042434E">
      <w:pPr>
        <w:pStyle w:val="SingleTxtG"/>
        <w:rPr>
          <w:sz w:val="20"/>
          <w:lang w:eastAsia="en-GB"/>
        </w:rPr>
      </w:pPr>
      <w:r>
        <w:rPr>
          <w:sz w:val="20"/>
          <w:lang w:eastAsia="en-GB"/>
        </w:rPr>
        <w:t>79</w:t>
      </w:r>
      <w:r w:rsidR="00BD6BB6" w:rsidRPr="00356AA1">
        <w:rPr>
          <w:sz w:val="20"/>
          <w:lang w:eastAsia="en-GB"/>
        </w:rPr>
        <w:t>.</w:t>
      </w:r>
      <w:r w:rsidR="00BD6BB6" w:rsidRPr="00356AA1">
        <w:rPr>
          <w:sz w:val="20"/>
          <w:lang w:eastAsia="en-GB"/>
        </w:rPr>
        <w:tab/>
      </w:r>
      <w:r w:rsidR="00313415">
        <w:rPr>
          <w:sz w:val="20"/>
          <w:lang w:eastAsia="en-GB"/>
        </w:rPr>
        <w:t>T</w:t>
      </w:r>
      <w:r w:rsidR="00BD6BB6" w:rsidRPr="00356AA1">
        <w:rPr>
          <w:sz w:val="20"/>
          <w:lang w:eastAsia="en-GB"/>
        </w:rPr>
        <w:t>hose who were children during the Troubles require speciali</w:t>
      </w:r>
      <w:r w:rsidR="00055856">
        <w:rPr>
          <w:sz w:val="20"/>
          <w:lang w:eastAsia="en-GB"/>
        </w:rPr>
        <w:t>z</w:t>
      </w:r>
      <w:r w:rsidR="00BD6BB6" w:rsidRPr="00356AA1">
        <w:rPr>
          <w:sz w:val="20"/>
          <w:lang w:eastAsia="en-GB"/>
        </w:rPr>
        <w:t xml:space="preserve">ed care, including reintegration programmes, education and employment support. The impact of the Troubles is inherited, and should be addressed in children, many of whom </w:t>
      </w:r>
      <w:r w:rsidR="00055856">
        <w:rPr>
          <w:sz w:val="20"/>
          <w:lang w:eastAsia="en-GB"/>
        </w:rPr>
        <w:t>are still</w:t>
      </w:r>
      <w:r w:rsidR="00BD6BB6" w:rsidRPr="00356AA1">
        <w:rPr>
          <w:sz w:val="20"/>
          <w:lang w:eastAsia="en-GB"/>
        </w:rPr>
        <w:t xml:space="preserve"> exposed to violence and poverty.</w:t>
      </w:r>
    </w:p>
    <w:p w:rsidR="00FF4737" w:rsidRPr="00FF4737" w:rsidRDefault="00BD6BB6">
      <w:pPr>
        <w:pStyle w:val="SingleTxtG"/>
      </w:pPr>
      <w:r w:rsidRPr="00356AA1">
        <w:rPr>
          <w:sz w:val="20"/>
        </w:rPr>
        <w:t>8</w:t>
      </w:r>
      <w:r w:rsidR="0042434E">
        <w:rPr>
          <w:sz w:val="20"/>
        </w:rPr>
        <w:t>0</w:t>
      </w:r>
      <w:r w:rsidRPr="00356AA1">
        <w:rPr>
          <w:sz w:val="20"/>
        </w:rPr>
        <w:t>.</w:t>
      </w:r>
      <w:r w:rsidRPr="00356AA1">
        <w:rPr>
          <w:sz w:val="20"/>
        </w:rPr>
        <w:tab/>
        <w:t xml:space="preserve">Many questions could be raised concerning both </w:t>
      </w:r>
      <w:r w:rsidR="0029713D">
        <w:rPr>
          <w:sz w:val="20"/>
        </w:rPr>
        <w:t xml:space="preserve">the </w:t>
      </w:r>
      <w:r w:rsidRPr="00356AA1">
        <w:rPr>
          <w:sz w:val="20"/>
        </w:rPr>
        <w:t xml:space="preserve">funding and institutional delivery </w:t>
      </w:r>
      <w:r w:rsidR="0029713D">
        <w:rPr>
          <w:sz w:val="20"/>
        </w:rPr>
        <w:t>of</w:t>
      </w:r>
      <w:r w:rsidRPr="00356AA1">
        <w:rPr>
          <w:sz w:val="20"/>
        </w:rPr>
        <w:t xml:space="preserve"> </w:t>
      </w:r>
      <w:r w:rsidR="00F94050">
        <w:rPr>
          <w:sz w:val="20"/>
        </w:rPr>
        <w:t>benefits and services to victims</w:t>
      </w:r>
      <w:r w:rsidR="00F94050" w:rsidRPr="00356AA1">
        <w:rPr>
          <w:sz w:val="20"/>
        </w:rPr>
        <w:t xml:space="preserve"> </w:t>
      </w:r>
      <w:r w:rsidRPr="00356AA1">
        <w:rPr>
          <w:sz w:val="20"/>
        </w:rPr>
        <w:t>in N</w:t>
      </w:r>
      <w:r w:rsidR="0029713D">
        <w:rPr>
          <w:sz w:val="20"/>
        </w:rPr>
        <w:t xml:space="preserve">orthern </w:t>
      </w:r>
      <w:r w:rsidRPr="00356AA1">
        <w:rPr>
          <w:sz w:val="20"/>
        </w:rPr>
        <w:t>I</w:t>
      </w:r>
      <w:r w:rsidR="0029713D">
        <w:rPr>
          <w:sz w:val="20"/>
        </w:rPr>
        <w:t>reland</w:t>
      </w:r>
      <w:r w:rsidRPr="00356AA1">
        <w:rPr>
          <w:sz w:val="20"/>
        </w:rPr>
        <w:t xml:space="preserve">. The fundamental challenge is that </w:t>
      </w:r>
      <w:r w:rsidR="00F94050">
        <w:rPr>
          <w:sz w:val="20"/>
        </w:rPr>
        <w:t xml:space="preserve">benefits and services become </w:t>
      </w:r>
      <w:r w:rsidRPr="00356AA1">
        <w:rPr>
          <w:sz w:val="20"/>
        </w:rPr>
        <w:t xml:space="preserve">reparations </w:t>
      </w:r>
      <w:r w:rsidR="00F94050">
        <w:rPr>
          <w:sz w:val="20"/>
        </w:rPr>
        <w:t xml:space="preserve">only if they are accompanied and motivated by an </w:t>
      </w:r>
      <w:r w:rsidRPr="00356AA1">
        <w:rPr>
          <w:sz w:val="20"/>
        </w:rPr>
        <w:t>acknowledgment</w:t>
      </w:r>
      <w:r w:rsidR="00F94050">
        <w:rPr>
          <w:sz w:val="20"/>
        </w:rPr>
        <w:t xml:space="preserve"> of responsib</w:t>
      </w:r>
      <w:r w:rsidR="006D642A">
        <w:rPr>
          <w:sz w:val="20"/>
        </w:rPr>
        <w:t>i</w:t>
      </w:r>
      <w:r w:rsidR="00F94050">
        <w:rPr>
          <w:sz w:val="20"/>
        </w:rPr>
        <w:t>lity.</w:t>
      </w:r>
      <w:r w:rsidR="0029713D">
        <w:rPr>
          <w:sz w:val="20"/>
        </w:rPr>
        <w:t xml:space="preserve"> </w:t>
      </w:r>
      <w:r w:rsidR="00F94050">
        <w:rPr>
          <w:sz w:val="20"/>
        </w:rPr>
        <w:t>While</w:t>
      </w:r>
      <w:r w:rsidR="0029713D">
        <w:rPr>
          <w:sz w:val="20"/>
        </w:rPr>
        <w:t xml:space="preserve"> </w:t>
      </w:r>
      <w:r w:rsidR="0029713D">
        <w:rPr>
          <w:sz w:val="20"/>
          <w:szCs w:val="20"/>
        </w:rPr>
        <w:t>various</w:t>
      </w:r>
      <w:r w:rsidR="0029713D" w:rsidRPr="00356AA1">
        <w:rPr>
          <w:sz w:val="20"/>
          <w:szCs w:val="20"/>
        </w:rPr>
        <w:t xml:space="preserve"> parties have made apologies, including Prime Minister Cameron, the </w:t>
      </w:r>
      <w:r w:rsidR="0029713D">
        <w:rPr>
          <w:sz w:val="20"/>
          <w:szCs w:val="20"/>
        </w:rPr>
        <w:t xml:space="preserve">Provisional </w:t>
      </w:r>
      <w:r w:rsidR="0029713D" w:rsidRPr="00356AA1">
        <w:rPr>
          <w:sz w:val="20"/>
          <w:szCs w:val="20"/>
        </w:rPr>
        <w:t>IRA and others</w:t>
      </w:r>
      <w:r w:rsidR="0029713D">
        <w:rPr>
          <w:sz w:val="20"/>
          <w:szCs w:val="20"/>
        </w:rPr>
        <w:t>,</w:t>
      </w:r>
      <w:r w:rsidR="0029713D" w:rsidRPr="00356AA1">
        <w:rPr>
          <w:sz w:val="20"/>
          <w:szCs w:val="20"/>
        </w:rPr>
        <w:t xml:space="preserve"> they have been piecemeal and usually conditioned</w:t>
      </w:r>
      <w:r w:rsidRPr="00356AA1">
        <w:rPr>
          <w:sz w:val="20"/>
        </w:rPr>
        <w:t xml:space="preserve">. </w:t>
      </w:r>
      <w:r w:rsidR="0029713D">
        <w:rPr>
          <w:sz w:val="20"/>
        </w:rPr>
        <w:t>With r</w:t>
      </w:r>
      <w:r w:rsidRPr="00356AA1">
        <w:rPr>
          <w:sz w:val="20"/>
        </w:rPr>
        <w:t xml:space="preserve">egard </w:t>
      </w:r>
      <w:r w:rsidR="0029713D">
        <w:rPr>
          <w:sz w:val="20"/>
        </w:rPr>
        <w:t xml:space="preserve">to </w:t>
      </w:r>
      <w:r w:rsidRPr="00356AA1">
        <w:rPr>
          <w:sz w:val="20"/>
        </w:rPr>
        <w:t xml:space="preserve">human rights violations </w:t>
      </w:r>
      <w:r w:rsidR="0029713D">
        <w:rPr>
          <w:sz w:val="20"/>
        </w:rPr>
        <w:t xml:space="preserve">committed </w:t>
      </w:r>
      <w:r w:rsidRPr="00356AA1">
        <w:rPr>
          <w:sz w:val="20"/>
        </w:rPr>
        <w:t>in N</w:t>
      </w:r>
      <w:r w:rsidR="0029713D">
        <w:rPr>
          <w:sz w:val="20"/>
        </w:rPr>
        <w:t xml:space="preserve">orthern </w:t>
      </w:r>
      <w:r w:rsidRPr="00356AA1">
        <w:rPr>
          <w:sz w:val="20"/>
        </w:rPr>
        <w:t>I</w:t>
      </w:r>
      <w:r w:rsidR="0029713D">
        <w:rPr>
          <w:sz w:val="20"/>
        </w:rPr>
        <w:t>reland</w:t>
      </w:r>
      <w:r w:rsidRPr="00356AA1">
        <w:rPr>
          <w:sz w:val="20"/>
        </w:rPr>
        <w:t xml:space="preserve">, the parties </w:t>
      </w:r>
      <w:r w:rsidR="0029713D">
        <w:rPr>
          <w:sz w:val="20"/>
        </w:rPr>
        <w:t xml:space="preserve">that should </w:t>
      </w:r>
      <w:r w:rsidRPr="00356AA1">
        <w:rPr>
          <w:sz w:val="20"/>
        </w:rPr>
        <w:t xml:space="preserve">acknowledge </w:t>
      </w:r>
      <w:r w:rsidR="0029713D">
        <w:rPr>
          <w:sz w:val="20"/>
        </w:rPr>
        <w:t xml:space="preserve">their </w:t>
      </w:r>
      <w:r w:rsidRPr="00356AA1">
        <w:rPr>
          <w:sz w:val="20"/>
        </w:rPr>
        <w:t xml:space="preserve">wrongdoing are as plentiful as </w:t>
      </w:r>
      <w:r w:rsidRPr="00356AA1">
        <w:rPr>
          <w:sz w:val="20"/>
        </w:rPr>
        <w:lastRenderedPageBreak/>
        <w:t>the</w:t>
      </w:r>
      <w:r w:rsidR="0029713D">
        <w:rPr>
          <w:sz w:val="20"/>
        </w:rPr>
        <w:t xml:space="preserve"> reasons given for their </w:t>
      </w:r>
      <w:r w:rsidRPr="00356AA1">
        <w:rPr>
          <w:sz w:val="20"/>
        </w:rPr>
        <w:t xml:space="preserve">unwillingness to do so. All actors involved in violations and abuses </w:t>
      </w:r>
      <w:r w:rsidR="0029713D">
        <w:rPr>
          <w:sz w:val="20"/>
        </w:rPr>
        <w:t xml:space="preserve">committed during </w:t>
      </w:r>
      <w:r w:rsidRPr="00356AA1">
        <w:rPr>
          <w:sz w:val="20"/>
        </w:rPr>
        <w:t>the Troubles should consider an acknowledgement, which could be issued simultaneously.</w:t>
      </w:r>
      <w:r w:rsidRPr="00FF4737">
        <w:rPr>
          <w:rStyle w:val="FootnoteReference"/>
        </w:rPr>
        <w:footnoteReference w:id="23"/>
      </w:r>
      <w:r w:rsidR="00F94050">
        <w:rPr>
          <w:sz w:val="20"/>
        </w:rPr>
        <w:t>Such acknowledgment would then become available as the grounds for benefits and services; only then could one speak of reparations in the strict sense.</w:t>
      </w:r>
    </w:p>
    <w:p w:rsidR="00FF4737" w:rsidRPr="00FF4737" w:rsidRDefault="0099518C" w:rsidP="00356AA1">
      <w:pPr>
        <w:pStyle w:val="HChG"/>
        <w:spacing w:line="240" w:lineRule="atLeast"/>
        <w:rPr>
          <w:lang w:eastAsia="en-GB"/>
        </w:rPr>
      </w:pPr>
      <w:r w:rsidRPr="00FF4737">
        <w:rPr>
          <w:lang w:eastAsia="en-GB"/>
        </w:rPr>
        <w:tab/>
        <w:t>VII.</w:t>
      </w:r>
      <w:r w:rsidRPr="00FF4737">
        <w:rPr>
          <w:lang w:eastAsia="en-GB"/>
        </w:rPr>
        <w:tab/>
        <w:t>Guarantees of non-recurrence</w:t>
      </w:r>
    </w:p>
    <w:p w:rsidR="00FF4737" w:rsidRPr="00356AA1" w:rsidRDefault="00ED01BE">
      <w:pPr>
        <w:pStyle w:val="SingleTxtG"/>
        <w:rPr>
          <w:sz w:val="20"/>
          <w:lang w:eastAsia="en-GB"/>
        </w:rPr>
      </w:pPr>
      <w:r w:rsidRPr="00356AA1">
        <w:rPr>
          <w:sz w:val="20"/>
          <w:lang w:eastAsia="en-GB"/>
        </w:rPr>
        <w:t>8</w:t>
      </w:r>
      <w:r w:rsidR="0042434E">
        <w:rPr>
          <w:sz w:val="20"/>
          <w:lang w:eastAsia="en-GB"/>
        </w:rPr>
        <w:t>1</w:t>
      </w:r>
      <w:r w:rsidRPr="00356AA1">
        <w:rPr>
          <w:sz w:val="20"/>
          <w:lang w:eastAsia="en-GB"/>
        </w:rPr>
        <w:t>.</w:t>
      </w:r>
      <w:r w:rsidRPr="00356AA1">
        <w:rPr>
          <w:sz w:val="20"/>
          <w:lang w:eastAsia="en-GB"/>
        </w:rPr>
        <w:tab/>
      </w:r>
      <w:r w:rsidR="00874D61">
        <w:rPr>
          <w:sz w:val="20"/>
          <w:lang w:eastAsia="en-GB"/>
        </w:rPr>
        <w:t xml:space="preserve">In his most recent </w:t>
      </w:r>
      <w:r w:rsidRPr="00356AA1">
        <w:rPr>
          <w:sz w:val="20"/>
          <w:lang w:eastAsia="en-GB"/>
        </w:rPr>
        <w:t>reports</w:t>
      </w:r>
      <w:r w:rsidR="00874D61">
        <w:rPr>
          <w:sz w:val="20"/>
          <w:lang w:eastAsia="en-GB"/>
        </w:rPr>
        <w:t>,</w:t>
      </w:r>
      <w:r w:rsidRPr="00356AA1">
        <w:rPr>
          <w:sz w:val="20"/>
          <w:lang w:eastAsia="en-GB"/>
        </w:rPr>
        <w:t xml:space="preserve"> the Special Rapporteur outlin</w:t>
      </w:r>
      <w:r w:rsidR="00874D61">
        <w:rPr>
          <w:sz w:val="20"/>
          <w:lang w:eastAsia="en-GB"/>
        </w:rPr>
        <w:t>ed</w:t>
      </w:r>
      <w:r w:rsidRPr="00356AA1">
        <w:rPr>
          <w:sz w:val="20"/>
          <w:lang w:eastAsia="en-GB"/>
        </w:rPr>
        <w:t xml:space="preserve"> a broad framework approach to non-repetition, highlight</w:t>
      </w:r>
      <w:r w:rsidR="00874D61">
        <w:rPr>
          <w:sz w:val="20"/>
          <w:lang w:eastAsia="en-GB"/>
        </w:rPr>
        <w:t>ing</w:t>
      </w:r>
      <w:r w:rsidRPr="00356AA1">
        <w:rPr>
          <w:sz w:val="20"/>
          <w:lang w:eastAsia="en-GB"/>
        </w:rPr>
        <w:t xml:space="preserve"> the importance of a comprehensive approach to non-recurrence and of an enabling context and initiatives that go beyond institutional reforms, </w:t>
      </w:r>
      <w:r w:rsidR="00874D61">
        <w:rPr>
          <w:sz w:val="20"/>
          <w:lang w:eastAsia="en-GB"/>
        </w:rPr>
        <w:t xml:space="preserve">and entail </w:t>
      </w:r>
      <w:r w:rsidRPr="00356AA1">
        <w:rPr>
          <w:sz w:val="20"/>
          <w:lang w:eastAsia="en-GB"/>
        </w:rPr>
        <w:t xml:space="preserve">strengthening </w:t>
      </w:r>
      <w:r w:rsidR="00874D61" w:rsidRPr="008F4323">
        <w:rPr>
          <w:sz w:val="20"/>
          <w:lang w:eastAsia="en-GB"/>
        </w:rPr>
        <w:t xml:space="preserve">both </w:t>
      </w:r>
      <w:r w:rsidRPr="00356AA1">
        <w:rPr>
          <w:sz w:val="20"/>
          <w:lang w:eastAsia="en-GB"/>
        </w:rPr>
        <w:t>civil society and interventions in the cultural sphere</w:t>
      </w:r>
      <w:r w:rsidR="00874D61">
        <w:rPr>
          <w:sz w:val="20"/>
          <w:lang w:eastAsia="en-GB"/>
        </w:rPr>
        <w:t xml:space="preserve"> </w:t>
      </w:r>
      <w:r w:rsidR="00874D61" w:rsidRPr="00874D61">
        <w:rPr>
          <w:sz w:val="20"/>
          <w:szCs w:val="20"/>
          <w:lang w:eastAsia="en-GB"/>
        </w:rPr>
        <w:t>(</w:t>
      </w:r>
      <w:r w:rsidR="00874D61" w:rsidRPr="00356AA1">
        <w:rPr>
          <w:sz w:val="20"/>
          <w:szCs w:val="20"/>
        </w:rPr>
        <w:t>A/HRC/30/42 and A/70/438)</w:t>
      </w:r>
      <w:r w:rsidRPr="00356AA1">
        <w:rPr>
          <w:sz w:val="20"/>
          <w:szCs w:val="20"/>
          <w:lang w:eastAsia="en-GB"/>
        </w:rPr>
        <w:t>.</w:t>
      </w:r>
    </w:p>
    <w:p w:rsidR="00FF4737" w:rsidRPr="00FF4737" w:rsidRDefault="00ED01BE" w:rsidP="00356AA1">
      <w:pPr>
        <w:pStyle w:val="H1G"/>
        <w:spacing w:line="240" w:lineRule="atLeast"/>
        <w:rPr>
          <w:lang w:eastAsia="en-GB"/>
        </w:rPr>
      </w:pPr>
      <w:r w:rsidRPr="00FF4737">
        <w:rPr>
          <w:lang w:eastAsia="en-GB"/>
        </w:rPr>
        <w:tab/>
        <w:t>A.</w:t>
      </w:r>
      <w:r w:rsidRPr="00FF4737">
        <w:rPr>
          <w:lang w:eastAsia="en-GB"/>
        </w:rPr>
        <w:tab/>
        <w:t>An enabling context</w:t>
      </w:r>
    </w:p>
    <w:p w:rsidR="00FF4737" w:rsidRPr="00356AA1" w:rsidRDefault="00ED01BE">
      <w:pPr>
        <w:pStyle w:val="SingleTxtG"/>
        <w:rPr>
          <w:sz w:val="20"/>
          <w:lang w:bidi="hi-IN"/>
        </w:rPr>
      </w:pPr>
      <w:r w:rsidRPr="00356AA1">
        <w:rPr>
          <w:sz w:val="20"/>
          <w:lang w:eastAsia="en-GB"/>
        </w:rPr>
        <w:t>8</w:t>
      </w:r>
      <w:r w:rsidR="0042434E">
        <w:rPr>
          <w:sz w:val="20"/>
          <w:lang w:eastAsia="en-GB"/>
        </w:rPr>
        <w:t>2</w:t>
      </w:r>
      <w:r w:rsidRPr="00356AA1">
        <w:rPr>
          <w:sz w:val="20"/>
          <w:lang w:eastAsia="en-GB"/>
        </w:rPr>
        <w:t>.</w:t>
      </w:r>
      <w:r w:rsidRPr="00356AA1">
        <w:rPr>
          <w:sz w:val="20"/>
          <w:lang w:eastAsia="en-GB"/>
        </w:rPr>
        <w:tab/>
        <w:t>Although the causes of violence or of human rights violations cannot be reduced to inequality or poverty</w:t>
      </w:r>
      <w:r w:rsidR="00874D61">
        <w:rPr>
          <w:sz w:val="20"/>
          <w:lang w:eastAsia="en-GB"/>
        </w:rPr>
        <w:t xml:space="preserve"> alone</w:t>
      </w:r>
      <w:r w:rsidRPr="00356AA1">
        <w:rPr>
          <w:sz w:val="20"/>
          <w:lang w:eastAsia="en-GB"/>
        </w:rPr>
        <w:t xml:space="preserve">, it is well known that both </w:t>
      </w:r>
      <w:r w:rsidR="00874D61">
        <w:rPr>
          <w:sz w:val="20"/>
          <w:lang w:eastAsia="en-GB"/>
        </w:rPr>
        <w:t xml:space="preserve">conditions </w:t>
      </w:r>
      <w:r w:rsidRPr="00356AA1">
        <w:rPr>
          <w:sz w:val="20"/>
          <w:lang w:eastAsia="en-GB"/>
        </w:rPr>
        <w:t>correlat</w:t>
      </w:r>
      <w:r w:rsidR="00223205">
        <w:rPr>
          <w:sz w:val="20"/>
          <w:lang w:eastAsia="en-GB"/>
        </w:rPr>
        <w:t xml:space="preserve">e </w:t>
      </w:r>
      <w:r w:rsidRPr="00356AA1">
        <w:rPr>
          <w:sz w:val="20"/>
          <w:lang w:eastAsia="en-GB"/>
        </w:rPr>
        <w:t xml:space="preserve">with violence and </w:t>
      </w:r>
      <w:r w:rsidR="00874D61">
        <w:rPr>
          <w:sz w:val="20"/>
          <w:lang w:eastAsia="en-GB"/>
        </w:rPr>
        <w:t xml:space="preserve">the </w:t>
      </w:r>
      <w:r w:rsidRPr="00356AA1">
        <w:rPr>
          <w:sz w:val="20"/>
          <w:lang w:eastAsia="en-GB"/>
        </w:rPr>
        <w:t>violations of rights. Entrenched economic exclusion</w:t>
      </w:r>
      <w:r w:rsidR="00874D61">
        <w:rPr>
          <w:sz w:val="20"/>
          <w:lang w:eastAsia="en-GB"/>
        </w:rPr>
        <w:t xml:space="preserve"> and </w:t>
      </w:r>
      <w:r w:rsidRPr="00356AA1">
        <w:rPr>
          <w:sz w:val="20"/>
          <w:lang w:bidi="hi-IN"/>
        </w:rPr>
        <w:t>persistent and durable inequalities may be particularly detrimental to the enjoyment of rights.</w:t>
      </w:r>
    </w:p>
    <w:p w:rsidR="00FF4737" w:rsidRPr="00356AA1" w:rsidRDefault="00ED01BE">
      <w:pPr>
        <w:pStyle w:val="SingleTxtG"/>
        <w:rPr>
          <w:sz w:val="20"/>
          <w:lang w:eastAsia="en-GB"/>
        </w:rPr>
      </w:pPr>
      <w:r w:rsidRPr="00356AA1">
        <w:rPr>
          <w:sz w:val="20"/>
          <w:lang w:eastAsia="en-GB"/>
        </w:rPr>
        <w:t>8</w:t>
      </w:r>
      <w:r w:rsidR="0042434E">
        <w:rPr>
          <w:sz w:val="20"/>
          <w:lang w:eastAsia="en-GB"/>
        </w:rPr>
        <w:t>3</w:t>
      </w:r>
      <w:r w:rsidRPr="00356AA1">
        <w:rPr>
          <w:sz w:val="20"/>
          <w:lang w:eastAsia="en-GB"/>
        </w:rPr>
        <w:t>.</w:t>
      </w:r>
      <w:r w:rsidRPr="00356AA1">
        <w:rPr>
          <w:sz w:val="20"/>
          <w:lang w:eastAsia="en-GB"/>
        </w:rPr>
        <w:tab/>
        <w:t xml:space="preserve">The </w:t>
      </w:r>
      <w:r w:rsidR="00874D61">
        <w:rPr>
          <w:sz w:val="20"/>
          <w:lang w:eastAsia="en-GB"/>
        </w:rPr>
        <w:t>Good Friday</w:t>
      </w:r>
      <w:r w:rsidR="00223205">
        <w:rPr>
          <w:sz w:val="20"/>
          <w:lang w:eastAsia="en-GB"/>
        </w:rPr>
        <w:t xml:space="preserve"> </w:t>
      </w:r>
      <w:r w:rsidR="00874D61">
        <w:rPr>
          <w:sz w:val="20"/>
          <w:lang w:eastAsia="en-GB"/>
        </w:rPr>
        <w:t>Agreement</w:t>
      </w:r>
      <w:r w:rsidRPr="00356AA1">
        <w:rPr>
          <w:sz w:val="20"/>
          <w:lang w:eastAsia="en-GB"/>
        </w:rPr>
        <w:t xml:space="preserve"> and the St. Andrews Agreement contained commitments to equality aimed at tackling patterns of deprivation of </w:t>
      </w:r>
      <w:r w:rsidR="00874D61">
        <w:rPr>
          <w:sz w:val="20"/>
          <w:lang w:eastAsia="en-GB"/>
        </w:rPr>
        <w:t>the</w:t>
      </w:r>
      <w:r w:rsidR="00874D61" w:rsidRPr="00356AA1">
        <w:rPr>
          <w:sz w:val="20"/>
          <w:lang w:eastAsia="en-GB"/>
        </w:rPr>
        <w:t xml:space="preserve"> </w:t>
      </w:r>
      <w:r w:rsidRPr="00356AA1">
        <w:rPr>
          <w:sz w:val="20"/>
          <w:lang w:eastAsia="en-GB"/>
        </w:rPr>
        <w:t>communities most affected by the Troubles</w:t>
      </w:r>
      <w:r w:rsidR="00874D61">
        <w:rPr>
          <w:sz w:val="20"/>
          <w:lang w:eastAsia="en-GB"/>
        </w:rPr>
        <w:t>,</w:t>
      </w:r>
      <w:r w:rsidRPr="00356AA1">
        <w:rPr>
          <w:sz w:val="20"/>
          <w:lang w:eastAsia="en-GB"/>
        </w:rPr>
        <w:t xml:space="preserve"> </w:t>
      </w:r>
      <w:r w:rsidR="00874D61">
        <w:rPr>
          <w:sz w:val="20"/>
          <w:lang w:eastAsia="en-GB"/>
        </w:rPr>
        <w:t xml:space="preserve">a fact </w:t>
      </w:r>
      <w:r w:rsidRPr="00356AA1">
        <w:rPr>
          <w:sz w:val="20"/>
          <w:lang w:eastAsia="en-GB"/>
        </w:rPr>
        <w:t xml:space="preserve">implicitly acknowledged </w:t>
      </w:r>
      <w:r w:rsidR="00874D61">
        <w:rPr>
          <w:sz w:val="20"/>
          <w:lang w:eastAsia="en-GB"/>
        </w:rPr>
        <w:t>in</w:t>
      </w:r>
      <w:r w:rsidRPr="00356AA1">
        <w:rPr>
          <w:sz w:val="20"/>
          <w:lang w:eastAsia="en-GB"/>
        </w:rPr>
        <w:t xml:space="preserve"> section 75 of </w:t>
      </w:r>
      <w:r w:rsidR="00874D61">
        <w:rPr>
          <w:sz w:val="20"/>
          <w:lang w:eastAsia="en-GB"/>
        </w:rPr>
        <w:t>t</w:t>
      </w:r>
      <w:r w:rsidRPr="00356AA1">
        <w:rPr>
          <w:sz w:val="20"/>
          <w:lang w:eastAsia="en-GB"/>
        </w:rPr>
        <w:t>he Northern Ireland Act (1998), which establishe</w:t>
      </w:r>
      <w:r w:rsidR="00874D61">
        <w:rPr>
          <w:sz w:val="20"/>
          <w:lang w:eastAsia="en-GB"/>
        </w:rPr>
        <w:t>d</w:t>
      </w:r>
      <w:r w:rsidRPr="00356AA1">
        <w:rPr>
          <w:sz w:val="20"/>
          <w:lang w:eastAsia="en-GB"/>
        </w:rPr>
        <w:t xml:space="preserve"> statutory obligations </w:t>
      </w:r>
      <w:r w:rsidR="00874D61">
        <w:rPr>
          <w:sz w:val="20"/>
          <w:lang w:eastAsia="en-GB"/>
        </w:rPr>
        <w:t>of</w:t>
      </w:r>
      <w:r w:rsidRPr="00356AA1">
        <w:rPr>
          <w:sz w:val="20"/>
          <w:lang w:eastAsia="en-GB"/>
        </w:rPr>
        <w:t xml:space="preserve"> equality. </w:t>
      </w:r>
    </w:p>
    <w:p w:rsidR="00FF4737" w:rsidRPr="00356AA1" w:rsidRDefault="00ED01BE">
      <w:pPr>
        <w:pStyle w:val="SingleTxtG"/>
        <w:rPr>
          <w:sz w:val="20"/>
        </w:rPr>
      </w:pPr>
      <w:r w:rsidRPr="00356AA1">
        <w:rPr>
          <w:sz w:val="20"/>
          <w:lang w:eastAsia="en-GB"/>
        </w:rPr>
        <w:t>8</w:t>
      </w:r>
      <w:r w:rsidR="0042434E">
        <w:rPr>
          <w:sz w:val="20"/>
          <w:lang w:eastAsia="en-GB"/>
        </w:rPr>
        <w:t>4</w:t>
      </w:r>
      <w:r w:rsidRPr="00356AA1">
        <w:rPr>
          <w:sz w:val="20"/>
          <w:lang w:eastAsia="en-GB"/>
        </w:rPr>
        <w:t>.</w:t>
      </w:r>
      <w:r w:rsidRPr="00356AA1">
        <w:rPr>
          <w:sz w:val="20"/>
          <w:lang w:eastAsia="en-GB"/>
        </w:rPr>
        <w:tab/>
        <w:t xml:space="preserve">These obligations have </w:t>
      </w:r>
      <w:r w:rsidR="00874D61">
        <w:rPr>
          <w:sz w:val="20"/>
          <w:lang w:eastAsia="en-GB"/>
        </w:rPr>
        <w:t xml:space="preserve">led to </w:t>
      </w:r>
      <w:r w:rsidRPr="00356AA1">
        <w:rPr>
          <w:sz w:val="20"/>
          <w:lang w:eastAsia="en-GB"/>
        </w:rPr>
        <w:t xml:space="preserve">institutional </w:t>
      </w:r>
      <w:r w:rsidR="00874D61">
        <w:rPr>
          <w:sz w:val="20"/>
          <w:lang w:eastAsia="en-GB"/>
        </w:rPr>
        <w:t>developments</w:t>
      </w:r>
      <w:r w:rsidRPr="00356AA1">
        <w:rPr>
          <w:sz w:val="20"/>
          <w:lang w:eastAsia="en-GB"/>
        </w:rPr>
        <w:t xml:space="preserve">, </w:t>
      </w:r>
      <w:r w:rsidR="00315E51">
        <w:rPr>
          <w:sz w:val="20"/>
          <w:lang w:eastAsia="en-GB"/>
        </w:rPr>
        <w:t xml:space="preserve">such as </w:t>
      </w:r>
      <w:r w:rsidRPr="00356AA1">
        <w:rPr>
          <w:sz w:val="20"/>
          <w:lang w:eastAsia="en-GB"/>
        </w:rPr>
        <w:t xml:space="preserve">the Equality and Good Relations Commission, tasked with advising </w:t>
      </w:r>
      <w:r w:rsidR="00874D61">
        <w:rPr>
          <w:sz w:val="20"/>
          <w:lang w:eastAsia="en-GB"/>
        </w:rPr>
        <w:t>the G</w:t>
      </w:r>
      <w:r w:rsidRPr="00356AA1">
        <w:rPr>
          <w:sz w:val="20"/>
          <w:lang w:eastAsia="en-GB"/>
        </w:rPr>
        <w:t>overnment and challeng</w:t>
      </w:r>
      <w:r w:rsidR="00874D61">
        <w:rPr>
          <w:sz w:val="20"/>
          <w:lang w:eastAsia="en-GB"/>
        </w:rPr>
        <w:t>ing</w:t>
      </w:r>
      <w:r w:rsidRPr="00356AA1">
        <w:rPr>
          <w:sz w:val="20"/>
          <w:lang w:eastAsia="en-GB"/>
        </w:rPr>
        <w:t xml:space="preserve"> it on issues of performance</w:t>
      </w:r>
      <w:r w:rsidR="00874D61">
        <w:rPr>
          <w:sz w:val="20"/>
          <w:lang w:eastAsia="en-GB"/>
        </w:rPr>
        <w:t>, as</w:t>
      </w:r>
      <w:r w:rsidRPr="00356AA1">
        <w:rPr>
          <w:sz w:val="20"/>
          <w:lang w:eastAsia="en-GB"/>
        </w:rPr>
        <w:t xml:space="preserve"> expressed in a variety of strategies, most recently </w:t>
      </w:r>
      <w:r w:rsidR="00315E51">
        <w:rPr>
          <w:sz w:val="20"/>
          <w:lang w:eastAsia="en-GB"/>
        </w:rPr>
        <w:t>in</w:t>
      </w:r>
      <w:r w:rsidRPr="00356AA1">
        <w:rPr>
          <w:sz w:val="20"/>
          <w:lang w:eastAsia="en-GB"/>
        </w:rPr>
        <w:t xml:space="preserve"> </w:t>
      </w:r>
      <w:r w:rsidRPr="00356AA1">
        <w:rPr>
          <w:i/>
          <w:sz w:val="20"/>
        </w:rPr>
        <w:t>Together: Building a United Community</w:t>
      </w:r>
      <w:r w:rsidRPr="00356AA1">
        <w:rPr>
          <w:sz w:val="20"/>
        </w:rPr>
        <w:t>, published in May 2013</w:t>
      </w:r>
      <w:r w:rsidRPr="00356AA1">
        <w:rPr>
          <w:sz w:val="20"/>
          <w:lang w:eastAsia="en-GB"/>
        </w:rPr>
        <w:t xml:space="preserve">. </w:t>
      </w:r>
      <w:r w:rsidR="00315E51" w:rsidRPr="00356AA1">
        <w:rPr>
          <w:sz w:val="20"/>
          <w:lang w:eastAsia="en-GB"/>
        </w:rPr>
        <w:t>In the publication</w:t>
      </w:r>
      <w:r w:rsidR="00315E51">
        <w:rPr>
          <w:sz w:val="20"/>
          <w:lang w:eastAsia="en-GB"/>
        </w:rPr>
        <w:t>, the Commission</w:t>
      </w:r>
      <w:r w:rsidRPr="00356AA1">
        <w:rPr>
          <w:sz w:val="20"/>
          <w:lang w:eastAsia="en-GB"/>
        </w:rPr>
        <w:t xml:space="preserve"> articulates an expansive vision of “</w:t>
      </w:r>
      <w:r w:rsidRPr="00356AA1">
        <w:rPr>
          <w:sz w:val="20"/>
        </w:rPr>
        <w:t xml:space="preserve">a united community, based on equality of opportunity, good relations and reconciliation </w:t>
      </w:r>
      <w:r w:rsidR="00315E51">
        <w:rPr>
          <w:sz w:val="20"/>
        </w:rPr>
        <w:t>–</w:t>
      </w:r>
      <w:r w:rsidRPr="00356AA1">
        <w:rPr>
          <w:sz w:val="20"/>
        </w:rPr>
        <w:t xml:space="preserve"> one which is strengthened by its diversity...</w:t>
      </w:r>
      <w:proofErr w:type="gramStart"/>
      <w:r w:rsidRPr="00356AA1">
        <w:rPr>
          <w:sz w:val="20"/>
        </w:rPr>
        <w:t>”</w:t>
      </w:r>
      <w:r w:rsidR="00315E51">
        <w:rPr>
          <w:sz w:val="20"/>
        </w:rPr>
        <w:t>.</w:t>
      </w:r>
      <w:proofErr w:type="gramEnd"/>
      <w:r w:rsidRPr="00356AA1">
        <w:rPr>
          <w:sz w:val="20"/>
        </w:rPr>
        <w:t xml:space="preserve"> It acknowledges that </w:t>
      </w:r>
      <w:r w:rsidRPr="00356AA1">
        <w:rPr>
          <w:sz w:val="20"/>
          <w:lang w:eastAsia="en-GB"/>
        </w:rPr>
        <w:t>“more work needs to be done to resolve the challenging legacy of [the] past”</w:t>
      </w:r>
      <w:r w:rsidR="00315E51">
        <w:rPr>
          <w:sz w:val="20"/>
          <w:lang w:eastAsia="en-GB"/>
        </w:rPr>
        <w:t>.</w:t>
      </w:r>
      <w:r w:rsidRPr="00356AA1">
        <w:rPr>
          <w:sz w:val="20"/>
          <w:lang w:eastAsia="en-GB"/>
        </w:rPr>
        <w:t xml:space="preserve"> </w:t>
      </w:r>
      <w:r w:rsidR="00315E51">
        <w:rPr>
          <w:sz w:val="20"/>
          <w:lang w:eastAsia="en-GB"/>
        </w:rPr>
        <w:t>It</w:t>
      </w:r>
      <w:r w:rsidRPr="00356AA1">
        <w:rPr>
          <w:sz w:val="20"/>
          <w:lang w:eastAsia="en-GB"/>
        </w:rPr>
        <w:t xml:space="preserve"> takes interventions in the cultural public sphere seriously, proposing the establishment of an </w:t>
      </w:r>
      <w:r w:rsidR="00315E51">
        <w:rPr>
          <w:sz w:val="20"/>
          <w:lang w:eastAsia="en-GB"/>
        </w:rPr>
        <w:t>“</w:t>
      </w:r>
      <w:r w:rsidRPr="00356AA1">
        <w:rPr>
          <w:sz w:val="20"/>
          <w:lang w:eastAsia="en-GB"/>
        </w:rPr>
        <w:t>All-Party Group, with an independent chair, to consider parades and protests; flags, symbols and emblems and related matters; and the past.”</w:t>
      </w:r>
      <w:r w:rsidRPr="00356AA1">
        <w:rPr>
          <w:sz w:val="20"/>
        </w:rPr>
        <w:t xml:space="preserve"> </w:t>
      </w:r>
    </w:p>
    <w:p w:rsidR="00FF4737" w:rsidRPr="00FF4737" w:rsidRDefault="00ED01BE">
      <w:pPr>
        <w:pStyle w:val="SingleTxtG"/>
        <w:rPr>
          <w:lang w:eastAsia="en-GB"/>
        </w:rPr>
      </w:pPr>
      <w:r w:rsidRPr="00356AA1">
        <w:rPr>
          <w:sz w:val="20"/>
          <w:lang w:eastAsia="en-GB"/>
        </w:rPr>
        <w:t>8</w:t>
      </w:r>
      <w:r w:rsidR="0042434E">
        <w:rPr>
          <w:sz w:val="20"/>
          <w:lang w:eastAsia="en-GB"/>
        </w:rPr>
        <w:t>5</w:t>
      </w:r>
      <w:r w:rsidRPr="00356AA1">
        <w:rPr>
          <w:sz w:val="20"/>
          <w:lang w:eastAsia="en-GB"/>
        </w:rPr>
        <w:t>.</w:t>
      </w:r>
      <w:r w:rsidRPr="00356AA1">
        <w:rPr>
          <w:sz w:val="20"/>
          <w:lang w:eastAsia="en-GB"/>
        </w:rPr>
        <w:tab/>
      </w:r>
      <w:r w:rsidR="00315E51">
        <w:rPr>
          <w:sz w:val="20"/>
          <w:lang w:eastAsia="en-GB"/>
        </w:rPr>
        <w:t>Although t</w:t>
      </w:r>
      <w:r w:rsidRPr="00356AA1">
        <w:rPr>
          <w:sz w:val="20"/>
          <w:lang w:eastAsia="en-GB"/>
        </w:rPr>
        <w:t xml:space="preserve">he Special Rapporteur welcomes these initiatives, </w:t>
      </w:r>
      <w:r w:rsidR="00315E51">
        <w:rPr>
          <w:sz w:val="20"/>
          <w:lang w:eastAsia="en-GB"/>
        </w:rPr>
        <w:t>he</w:t>
      </w:r>
      <w:r w:rsidRPr="00356AA1">
        <w:rPr>
          <w:sz w:val="20"/>
          <w:lang w:eastAsia="en-GB"/>
        </w:rPr>
        <w:t xml:space="preserve"> shares the </w:t>
      </w:r>
      <w:r w:rsidR="00315E51">
        <w:rPr>
          <w:sz w:val="20"/>
          <w:lang w:eastAsia="en-GB"/>
        </w:rPr>
        <w:t>doubts expressed by</w:t>
      </w:r>
      <w:r w:rsidRPr="00356AA1">
        <w:rPr>
          <w:sz w:val="20"/>
          <w:lang w:eastAsia="en-GB"/>
        </w:rPr>
        <w:t xml:space="preserve"> civil society about whether piecemeal</w:t>
      </w:r>
      <w:r w:rsidR="00315E51">
        <w:rPr>
          <w:sz w:val="20"/>
          <w:lang w:eastAsia="en-GB"/>
        </w:rPr>
        <w:t>, relatively</w:t>
      </w:r>
      <w:r w:rsidRPr="00356AA1">
        <w:rPr>
          <w:sz w:val="20"/>
          <w:lang w:eastAsia="en-GB"/>
        </w:rPr>
        <w:t xml:space="preserve"> small-scale programmes (</w:t>
      </w:r>
      <w:r w:rsidR="00315E51">
        <w:rPr>
          <w:sz w:val="20"/>
          <w:lang w:eastAsia="en-GB"/>
        </w:rPr>
        <w:t xml:space="preserve">such as </w:t>
      </w:r>
      <w:r w:rsidRPr="00356AA1">
        <w:rPr>
          <w:sz w:val="20"/>
          <w:lang w:eastAsia="en-GB"/>
        </w:rPr>
        <w:t>youth summer schools, volunteer program</w:t>
      </w:r>
      <w:r w:rsidR="00315E51">
        <w:rPr>
          <w:sz w:val="20"/>
          <w:lang w:eastAsia="en-GB"/>
        </w:rPr>
        <w:t>me</w:t>
      </w:r>
      <w:r w:rsidRPr="00356AA1">
        <w:rPr>
          <w:sz w:val="20"/>
          <w:lang w:eastAsia="en-GB"/>
        </w:rPr>
        <w:t>s, sporting events</w:t>
      </w:r>
      <w:r w:rsidR="00315E51">
        <w:rPr>
          <w:sz w:val="20"/>
          <w:lang w:eastAsia="en-GB"/>
        </w:rPr>
        <w:t xml:space="preserve"> and</w:t>
      </w:r>
      <w:r w:rsidRPr="00356AA1">
        <w:rPr>
          <w:sz w:val="20"/>
          <w:lang w:eastAsia="en-GB"/>
        </w:rPr>
        <w:t xml:space="preserve"> shared neighbourhoods) are </w:t>
      </w:r>
      <w:r w:rsidR="00315E51">
        <w:rPr>
          <w:sz w:val="20"/>
          <w:lang w:eastAsia="en-GB"/>
        </w:rPr>
        <w:t xml:space="preserve">sufficient to </w:t>
      </w:r>
      <w:r w:rsidRPr="00356AA1">
        <w:rPr>
          <w:sz w:val="20"/>
          <w:lang w:eastAsia="en-GB"/>
        </w:rPr>
        <w:t>realiz</w:t>
      </w:r>
      <w:r w:rsidR="00315E51">
        <w:rPr>
          <w:sz w:val="20"/>
          <w:lang w:eastAsia="en-GB"/>
        </w:rPr>
        <w:t>e</w:t>
      </w:r>
      <w:r w:rsidRPr="00356AA1">
        <w:rPr>
          <w:sz w:val="20"/>
          <w:lang w:eastAsia="en-GB"/>
        </w:rPr>
        <w:t xml:space="preserve"> the vision </w:t>
      </w:r>
      <w:r w:rsidR="00315E51">
        <w:rPr>
          <w:sz w:val="20"/>
          <w:lang w:eastAsia="en-GB"/>
        </w:rPr>
        <w:t>described by the Commission in its publication</w:t>
      </w:r>
      <w:r w:rsidRPr="00356AA1">
        <w:rPr>
          <w:sz w:val="20"/>
          <w:lang w:eastAsia="en-GB"/>
        </w:rPr>
        <w:t xml:space="preserve">. </w:t>
      </w:r>
      <w:r w:rsidR="00A217A5" w:rsidRPr="00356AA1">
        <w:rPr>
          <w:sz w:val="20"/>
        </w:rPr>
        <w:t xml:space="preserve">Northern Ireland </w:t>
      </w:r>
      <w:r w:rsidRPr="00356AA1">
        <w:rPr>
          <w:sz w:val="20"/>
          <w:lang w:eastAsia="en-GB"/>
        </w:rPr>
        <w:t xml:space="preserve">remains deeply segregated in </w:t>
      </w:r>
      <w:r w:rsidR="00CE2506" w:rsidRPr="00955FF0">
        <w:rPr>
          <w:sz w:val="20"/>
          <w:lang w:eastAsia="en-GB"/>
        </w:rPr>
        <w:t xml:space="preserve">such </w:t>
      </w:r>
      <w:r w:rsidRPr="00356AA1">
        <w:rPr>
          <w:sz w:val="20"/>
          <w:lang w:eastAsia="en-GB"/>
        </w:rPr>
        <w:t xml:space="preserve">crucial areas as housing and education: </w:t>
      </w:r>
      <w:r w:rsidR="00315E51">
        <w:rPr>
          <w:sz w:val="20"/>
          <w:lang w:eastAsia="en-GB"/>
        </w:rPr>
        <w:t>more than</w:t>
      </w:r>
      <w:r w:rsidRPr="00356AA1">
        <w:rPr>
          <w:sz w:val="20"/>
        </w:rPr>
        <w:t xml:space="preserve"> 90</w:t>
      </w:r>
      <w:r w:rsidR="00315E51">
        <w:rPr>
          <w:sz w:val="20"/>
        </w:rPr>
        <w:t xml:space="preserve"> per cent</w:t>
      </w:r>
      <w:r w:rsidRPr="00356AA1">
        <w:rPr>
          <w:sz w:val="20"/>
        </w:rPr>
        <w:t xml:space="preserve"> of social housing areas </w:t>
      </w:r>
      <w:r w:rsidR="00315E51">
        <w:rPr>
          <w:sz w:val="20"/>
        </w:rPr>
        <w:t>are</w:t>
      </w:r>
      <w:r w:rsidRPr="00356AA1">
        <w:rPr>
          <w:sz w:val="20"/>
        </w:rPr>
        <w:t xml:space="preserve"> segregated into predominantly single communities, </w:t>
      </w:r>
      <w:r w:rsidR="00315E51">
        <w:rPr>
          <w:sz w:val="20"/>
        </w:rPr>
        <w:t xml:space="preserve">a figure reaching </w:t>
      </w:r>
      <w:r w:rsidRPr="00356AA1">
        <w:rPr>
          <w:sz w:val="20"/>
        </w:rPr>
        <w:t>94</w:t>
      </w:r>
      <w:r w:rsidR="00315E51">
        <w:rPr>
          <w:sz w:val="20"/>
        </w:rPr>
        <w:t xml:space="preserve"> per cent</w:t>
      </w:r>
      <w:r w:rsidRPr="00356AA1">
        <w:rPr>
          <w:sz w:val="20"/>
        </w:rPr>
        <w:t xml:space="preserve"> in Belfast. </w:t>
      </w:r>
      <w:r w:rsidR="00CE2506">
        <w:rPr>
          <w:sz w:val="20"/>
        </w:rPr>
        <w:t>A</w:t>
      </w:r>
      <w:r w:rsidRPr="00356AA1">
        <w:rPr>
          <w:sz w:val="20"/>
          <w:lang w:eastAsia="en-GB"/>
        </w:rPr>
        <w:t>pproximately 92</w:t>
      </w:r>
      <w:r w:rsidR="00315E51">
        <w:rPr>
          <w:sz w:val="20"/>
          <w:lang w:eastAsia="en-GB"/>
        </w:rPr>
        <w:t xml:space="preserve"> per cent</w:t>
      </w:r>
      <w:r w:rsidRPr="00356AA1">
        <w:rPr>
          <w:sz w:val="20"/>
          <w:lang w:eastAsia="en-GB"/>
        </w:rPr>
        <w:t xml:space="preserve"> of children and young people in primary and post-primary schools are educated separately on the basis of religious background. It is broadly understood that th</w:t>
      </w:r>
      <w:r w:rsidR="00315E51">
        <w:rPr>
          <w:sz w:val="20"/>
          <w:lang w:eastAsia="en-GB"/>
        </w:rPr>
        <w:t>is degree</w:t>
      </w:r>
      <w:r w:rsidRPr="00356AA1">
        <w:rPr>
          <w:sz w:val="20"/>
          <w:lang w:eastAsia="en-GB"/>
        </w:rPr>
        <w:t xml:space="preserve"> of separation </w:t>
      </w:r>
      <w:r w:rsidR="00315E51">
        <w:rPr>
          <w:sz w:val="20"/>
          <w:lang w:eastAsia="en-GB"/>
        </w:rPr>
        <w:t>entails</w:t>
      </w:r>
      <w:r w:rsidR="00315E51" w:rsidRPr="00356AA1">
        <w:rPr>
          <w:sz w:val="20"/>
          <w:lang w:eastAsia="en-GB"/>
        </w:rPr>
        <w:t xml:space="preserve"> </w:t>
      </w:r>
      <w:r w:rsidRPr="00356AA1">
        <w:rPr>
          <w:sz w:val="20"/>
          <w:lang w:eastAsia="en-GB"/>
        </w:rPr>
        <w:t>costs and risks.</w:t>
      </w:r>
      <w:r w:rsidR="00781044">
        <w:rPr>
          <w:sz w:val="20"/>
          <w:lang w:eastAsia="en-GB"/>
        </w:rPr>
        <w:t xml:space="preserve"> </w:t>
      </w:r>
      <w:r w:rsidRPr="00356AA1">
        <w:rPr>
          <w:sz w:val="20"/>
          <w:lang w:eastAsia="en-GB"/>
        </w:rPr>
        <w:t xml:space="preserve">It is not clear that </w:t>
      </w:r>
      <w:r w:rsidR="002843F6">
        <w:rPr>
          <w:sz w:val="20"/>
          <w:lang w:eastAsia="en-GB"/>
        </w:rPr>
        <w:t xml:space="preserve">the document describes </w:t>
      </w:r>
      <w:r w:rsidRPr="00356AA1">
        <w:rPr>
          <w:sz w:val="20"/>
          <w:lang w:eastAsia="en-GB"/>
        </w:rPr>
        <w:t>policy instruments to change these figures significantly</w:t>
      </w:r>
      <w:r w:rsidR="00315E51">
        <w:rPr>
          <w:sz w:val="20"/>
          <w:lang w:eastAsia="en-GB"/>
        </w:rPr>
        <w:t>,</w:t>
      </w:r>
      <w:r w:rsidRPr="00356AA1">
        <w:rPr>
          <w:sz w:val="20"/>
          <w:lang w:eastAsia="en-GB"/>
        </w:rPr>
        <w:t xml:space="preserve"> even in the long-term. Surveys </w:t>
      </w:r>
      <w:r w:rsidRPr="00356AA1">
        <w:rPr>
          <w:sz w:val="20"/>
          <w:lang w:eastAsia="en-GB"/>
        </w:rPr>
        <w:lastRenderedPageBreak/>
        <w:t>consistently indicate strong support for more ‘mixing’ of the two communities.</w:t>
      </w:r>
      <w:r w:rsidRPr="00315E51">
        <w:rPr>
          <w:rStyle w:val="FootnoteReference"/>
          <w:szCs w:val="18"/>
          <w:lang w:eastAsia="en-GB"/>
        </w:rPr>
        <w:footnoteReference w:id="24"/>
      </w:r>
      <w:r w:rsidRPr="00356AA1">
        <w:rPr>
          <w:sz w:val="20"/>
          <w:lang w:eastAsia="en-GB"/>
        </w:rPr>
        <w:t xml:space="preserve"> Opportunities to achieve significantly greater levels of integration than political parties have sought </w:t>
      </w:r>
      <w:r w:rsidR="00731307">
        <w:rPr>
          <w:sz w:val="20"/>
          <w:lang w:eastAsia="en-GB"/>
        </w:rPr>
        <w:t xml:space="preserve">to date </w:t>
      </w:r>
      <w:r w:rsidRPr="00356AA1">
        <w:rPr>
          <w:sz w:val="20"/>
          <w:lang w:eastAsia="en-GB"/>
        </w:rPr>
        <w:t>may be feasible.</w:t>
      </w:r>
      <w:r w:rsidR="00781044">
        <w:rPr>
          <w:lang w:eastAsia="en-GB"/>
        </w:rPr>
        <w:t xml:space="preserve"> </w:t>
      </w:r>
    </w:p>
    <w:p w:rsidR="00FF4737" w:rsidRPr="00FF4737" w:rsidRDefault="00692073" w:rsidP="00356AA1">
      <w:pPr>
        <w:pStyle w:val="H1G"/>
        <w:spacing w:line="240" w:lineRule="atLeast"/>
        <w:rPr>
          <w:lang w:eastAsia="en-GB"/>
        </w:rPr>
      </w:pPr>
      <w:r w:rsidRPr="00FF4737">
        <w:rPr>
          <w:lang w:eastAsia="en-GB"/>
        </w:rPr>
        <w:tab/>
        <w:t>B.</w:t>
      </w:r>
      <w:r w:rsidRPr="00FF4737">
        <w:rPr>
          <w:lang w:eastAsia="en-GB"/>
        </w:rPr>
        <w:tab/>
        <w:t xml:space="preserve">Institutional </w:t>
      </w:r>
      <w:r w:rsidR="00731307">
        <w:rPr>
          <w:lang w:eastAsia="en-GB"/>
        </w:rPr>
        <w:t>r</w:t>
      </w:r>
      <w:r w:rsidRPr="00FF4737">
        <w:rPr>
          <w:lang w:eastAsia="en-GB"/>
        </w:rPr>
        <w:t>eforms</w:t>
      </w:r>
    </w:p>
    <w:p w:rsidR="00FF4737" w:rsidRPr="00356AA1" w:rsidRDefault="003B6C62" w:rsidP="00356AA1">
      <w:pPr>
        <w:pStyle w:val="H23G"/>
        <w:spacing w:line="240" w:lineRule="atLeast"/>
        <w:rPr>
          <w:sz w:val="20"/>
          <w:lang w:eastAsia="en-GB"/>
        </w:rPr>
      </w:pPr>
      <w:r w:rsidRPr="00356AA1">
        <w:rPr>
          <w:sz w:val="20"/>
          <w:lang w:eastAsia="en-GB"/>
        </w:rPr>
        <w:tab/>
      </w:r>
      <w:r w:rsidR="006178F3" w:rsidRPr="00356AA1">
        <w:rPr>
          <w:sz w:val="20"/>
          <w:lang w:eastAsia="en-GB"/>
        </w:rPr>
        <w:t>1.</w:t>
      </w:r>
      <w:r w:rsidRPr="00356AA1">
        <w:rPr>
          <w:sz w:val="20"/>
          <w:lang w:eastAsia="en-GB"/>
        </w:rPr>
        <w:tab/>
      </w:r>
      <w:r w:rsidR="0060657A" w:rsidRPr="00356AA1">
        <w:rPr>
          <w:sz w:val="20"/>
          <w:lang w:eastAsia="en-GB"/>
        </w:rPr>
        <w:t xml:space="preserve">Police </w:t>
      </w:r>
      <w:r w:rsidR="006178F3" w:rsidRPr="00356AA1">
        <w:rPr>
          <w:sz w:val="20"/>
          <w:lang w:eastAsia="en-GB"/>
        </w:rPr>
        <w:t>r</w:t>
      </w:r>
      <w:r w:rsidR="0060657A" w:rsidRPr="00356AA1">
        <w:rPr>
          <w:sz w:val="20"/>
          <w:lang w:eastAsia="en-GB"/>
        </w:rPr>
        <w:t>eform</w:t>
      </w:r>
    </w:p>
    <w:p w:rsidR="00FF4737" w:rsidRPr="00FF4737" w:rsidRDefault="0060657A">
      <w:pPr>
        <w:pStyle w:val="SingleTxtG"/>
        <w:rPr>
          <w:lang w:eastAsia="en-GB"/>
        </w:rPr>
      </w:pPr>
      <w:r w:rsidRPr="00356AA1">
        <w:rPr>
          <w:sz w:val="20"/>
          <w:lang w:eastAsia="en-GB"/>
        </w:rPr>
        <w:t>8</w:t>
      </w:r>
      <w:r w:rsidR="0042434E">
        <w:rPr>
          <w:sz w:val="20"/>
          <w:lang w:eastAsia="en-GB"/>
        </w:rPr>
        <w:t>6</w:t>
      </w:r>
      <w:r w:rsidRPr="00356AA1">
        <w:rPr>
          <w:sz w:val="20"/>
          <w:lang w:eastAsia="en-GB"/>
        </w:rPr>
        <w:t>.</w:t>
      </w:r>
      <w:r w:rsidRPr="00356AA1">
        <w:rPr>
          <w:sz w:val="20"/>
          <w:lang w:eastAsia="en-GB"/>
        </w:rPr>
        <w:tab/>
        <w:t>In the aftermath of serious human rights violations</w:t>
      </w:r>
      <w:r w:rsidR="00731307">
        <w:rPr>
          <w:sz w:val="20"/>
          <w:lang w:eastAsia="en-GB"/>
        </w:rPr>
        <w:t>,</w:t>
      </w:r>
      <w:r w:rsidRPr="00356AA1">
        <w:rPr>
          <w:sz w:val="20"/>
          <w:lang w:eastAsia="en-GB"/>
        </w:rPr>
        <w:t xml:space="preserve"> it is often crucial</w:t>
      </w:r>
      <w:r w:rsidR="00731307">
        <w:rPr>
          <w:sz w:val="20"/>
          <w:lang w:eastAsia="en-GB"/>
        </w:rPr>
        <w:t>,</w:t>
      </w:r>
      <w:r w:rsidRPr="00356AA1">
        <w:rPr>
          <w:sz w:val="20"/>
          <w:lang w:eastAsia="en-GB"/>
        </w:rPr>
        <w:t xml:space="preserve"> for the sake of non-recurrence</w:t>
      </w:r>
      <w:r w:rsidR="00731307">
        <w:rPr>
          <w:sz w:val="20"/>
          <w:lang w:eastAsia="en-GB"/>
        </w:rPr>
        <w:t>,</w:t>
      </w:r>
      <w:r w:rsidRPr="00356AA1">
        <w:rPr>
          <w:sz w:val="20"/>
          <w:lang w:eastAsia="en-GB"/>
        </w:rPr>
        <w:t xml:space="preserve"> to engage </w:t>
      </w:r>
      <w:r w:rsidR="00731307" w:rsidRPr="00344D5C">
        <w:rPr>
          <w:sz w:val="20"/>
          <w:lang w:eastAsia="en-GB"/>
        </w:rPr>
        <w:t xml:space="preserve">in </w:t>
      </w:r>
      <w:r w:rsidRPr="00356AA1">
        <w:rPr>
          <w:sz w:val="20"/>
          <w:lang w:eastAsia="en-GB"/>
        </w:rPr>
        <w:t xml:space="preserve">both security-sector reform and </w:t>
      </w:r>
      <w:r w:rsidR="00731307">
        <w:rPr>
          <w:sz w:val="20"/>
          <w:lang w:eastAsia="en-GB"/>
        </w:rPr>
        <w:t xml:space="preserve">the </w:t>
      </w:r>
      <w:r w:rsidRPr="00356AA1">
        <w:rPr>
          <w:sz w:val="20"/>
          <w:lang w:eastAsia="en-GB"/>
        </w:rPr>
        <w:t xml:space="preserve">effective demobilization of ex-combatants. The former </w:t>
      </w:r>
      <w:r w:rsidR="00731307">
        <w:rPr>
          <w:sz w:val="20"/>
          <w:lang w:eastAsia="en-GB"/>
        </w:rPr>
        <w:t>is</w:t>
      </w:r>
      <w:r w:rsidR="00731307" w:rsidRPr="00356AA1">
        <w:rPr>
          <w:sz w:val="20"/>
          <w:lang w:eastAsia="en-GB"/>
        </w:rPr>
        <w:t xml:space="preserve"> </w:t>
      </w:r>
      <w:r w:rsidRPr="00356AA1">
        <w:rPr>
          <w:sz w:val="20"/>
          <w:lang w:eastAsia="en-GB"/>
        </w:rPr>
        <w:t xml:space="preserve">the area under the mandate where the greatest achievements have been made in </w:t>
      </w:r>
      <w:r w:rsidR="00731307">
        <w:rPr>
          <w:sz w:val="20"/>
          <w:lang w:eastAsia="en-GB"/>
        </w:rPr>
        <w:t>Northern Ireland</w:t>
      </w:r>
      <w:r w:rsidRPr="00356AA1">
        <w:rPr>
          <w:sz w:val="20"/>
          <w:lang w:eastAsia="en-GB"/>
        </w:rPr>
        <w:t xml:space="preserve">. The </w:t>
      </w:r>
      <w:r w:rsidR="00731307" w:rsidRPr="00FE0309">
        <w:rPr>
          <w:sz w:val="20"/>
          <w:lang w:eastAsia="en-GB"/>
        </w:rPr>
        <w:t xml:space="preserve">emphasis </w:t>
      </w:r>
      <w:r w:rsidR="00731307">
        <w:rPr>
          <w:sz w:val="20"/>
          <w:lang w:eastAsia="en-GB"/>
        </w:rPr>
        <w:t xml:space="preserve">of the </w:t>
      </w:r>
      <w:r w:rsidRPr="00356AA1">
        <w:rPr>
          <w:sz w:val="20"/>
          <w:lang w:eastAsia="en-GB"/>
        </w:rPr>
        <w:t>P</w:t>
      </w:r>
      <w:r w:rsidR="00731307">
        <w:rPr>
          <w:sz w:val="20"/>
          <w:lang w:eastAsia="en-GB"/>
        </w:rPr>
        <w:t xml:space="preserve">olice </w:t>
      </w:r>
      <w:r w:rsidRPr="00356AA1">
        <w:rPr>
          <w:sz w:val="20"/>
          <w:lang w:eastAsia="en-GB"/>
        </w:rPr>
        <w:t>S</w:t>
      </w:r>
      <w:r w:rsidR="00731307">
        <w:rPr>
          <w:sz w:val="20"/>
          <w:lang w:eastAsia="en-GB"/>
        </w:rPr>
        <w:t xml:space="preserve">ervice of </w:t>
      </w:r>
      <w:r w:rsidRPr="00356AA1">
        <w:rPr>
          <w:sz w:val="20"/>
          <w:lang w:eastAsia="en-GB"/>
        </w:rPr>
        <w:t>N</w:t>
      </w:r>
      <w:r w:rsidR="00731307">
        <w:rPr>
          <w:sz w:val="20"/>
          <w:lang w:eastAsia="en-GB"/>
        </w:rPr>
        <w:t xml:space="preserve">orthern </w:t>
      </w:r>
      <w:r w:rsidRPr="00356AA1">
        <w:rPr>
          <w:sz w:val="20"/>
          <w:lang w:eastAsia="en-GB"/>
        </w:rPr>
        <w:t>I</w:t>
      </w:r>
      <w:r w:rsidR="00731307">
        <w:rPr>
          <w:sz w:val="20"/>
          <w:lang w:eastAsia="en-GB"/>
        </w:rPr>
        <w:t>reland</w:t>
      </w:r>
      <w:r w:rsidRPr="00356AA1">
        <w:rPr>
          <w:sz w:val="20"/>
          <w:lang w:eastAsia="en-GB"/>
        </w:rPr>
        <w:t xml:space="preserve"> on human rights, together with </w:t>
      </w:r>
      <w:r w:rsidR="00731307">
        <w:rPr>
          <w:sz w:val="20"/>
          <w:lang w:eastAsia="en-GB"/>
        </w:rPr>
        <w:t xml:space="preserve">greater </w:t>
      </w:r>
      <w:r w:rsidRPr="00356AA1">
        <w:rPr>
          <w:sz w:val="20"/>
          <w:lang w:eastAsia="en-GB"/>
        </w:rPr>
        <w:t>citizen involvement (</w:t>
      </w:r>
      <w:r w:rsidR="00731307">
        <w:rPr>
          <w:sz w:val="20"/>
          <w:lang w:eastAsia="en-GB"/>
        </w:rPr>
        <w:t>the result of</w:t>
      </w:r>
      <w:r w:rsidRPr="00356AA1">
        <w:rPr>
          <w:sz w:val="20"/>
          <w:lang w:eastAsia="en-GB"/>
        </w:rPr>
        <w:t xml:space="preserve"> both perceived representativeness </w:t>
      </w:r>
      <w:r w:rsidR="00731307">
        <w:rPr>
          <w:sz w:val="20"/>
          <w:lang w:eastAsia="en-GB"/>
        </w:rPr>
        <w:t xml:space="preserve">and </w:t>
      </w:r>
      <w:r w:rsidRPr="00356AA1">
        <w:rPr>
          <w:sz w:val="20"/>
          <w:lang w:eastAsia="en-GB"/>
        </w:rPr>
        <w:t>a new policing strategy)</w:t>
      </w:r>
      <w:r w:rsidR="00731307">
        <w:rPr>
          <w:sz w:val="20"/>
          <w:lang w:eastAsia="en-GB"/>
        </w:rPr>
        <w:t>,</w:t>
      </w:r>
      <w:r w:rsidRPr="00356AA1">
        <w:rPr>
          <w:sz w:val="20"/>
          <w:lang w:eastAsia="en-GB"/>
        </w:rPr>
        <w:t xml:space="preserve"> ha</w:t>
      </w:r>
      <w:r w:rsidR="00731307">
        <w:rPr>
          <w:sz w:val="20"/>
          <w:lang w:eastAsia="en-GB"/>
        </w:rPr>
        <w:t>s</w:t>
      </w:r>
      <w:r w:rsidRPr="00356AA1">
        <w:rPr>
          <w:sz w:val="20"/>
          <w:lang w:eastAsia="en-GB"/>
        </w:rPr>
        <w:t xml:space="preserve"> brought about extraordinarily high rates of popular trust </w:t>
      </w:r>
      <w:r w:rsidR="00731307">
        <w:rPr>
          <w:sz w:val="20"/>
          <w:lang w:eastAsia="en-GB"/>
        </w:rPr>
        <w:t xml:space="preserve">– between 80 and 85 per cent – </w:t>
      </w:r>
      <w:r w:rsidRPr="00356AA1">
        <w:rPr>
          <w:sz w:val="20"/>
          <w:lang w:eastAsia="en-GB"/>
        </w:rPr>
        <w:t xml:space="preserve">in the </w:t>
      </w:r>
      <w:r w:rsidR="00731307">
        <w:rPr>
          <w:sz w:val="20"/>
          <w:lang w:eastAsia="en-GB"/>
        </w:rPr>
        <w:t>Police Service</w:t>
      </w:r>
      <w:r w:rsidRPr="00356AA1">
        <w:rPr>
          <w:sz w:val="20"/>
          <w:lang w:eastAsia="en-GB"/>
        </w:rPr>
        <w:t>.</w:t>
      </w:r>
      <w:r w:rsidRPr="00731307">
        <w:rPr>
          <w:rStyle w:val="FootnoteReference"/>
          <w:szCs w:val="18"/>
          <w:lang w:eastAsia="en-GB"/>
        </w:rPr>
        <w:footnoteReference w:id="25"/>
      </w:r>
      <w:r w:rsidRPr="00356AA1">
        <w:rPr>
          <w:sz w:val="20"/>
          <w:lang w:eastAsia="en-GB"/>
        </w:rPr>
        <w:t xml:space="preserve"> The magnitude of this </w:t>
      </w:r>
      <w:r w:rsidR="00731307">
        <w:rPr>
          <w:sz w:val="20"/>
          <w:lang w:eastAsia="en-GB"/>
        </w:rPr>
        <w:t xml:space="preserve">change is </w:t>
      </w:r>
      <w:r w:rsidRPr="00356AA1">
        <w:rPr>
          <w:sz w:val="20"/>
          <w:lang w:eastAsia="en-GB"/>
        </w:rPr>
        <w:t xml:space="preserve">especially </w:t>
      </w:r>
      <w:r w:rsidR="00731307">
        <w:rPr>
          <w:sz w:val="20"/>
          <w:lang w:eastAsia="en-GB"/>
        </w:rPr>
        <w:t xml:space="preserve">remarkable when one </w:t>
      </w:r>
      <w:r w:rsidRPr="00356AA1">
        <w:rPr>
          <w:sz w:val="20"/>
          <w:lang w:eastAsia="en-GB"/>
        </w:rPr>
        <w:t>consider</w:t>
      </w:r>
      <w:r w:rsidR="00731307">
        <w:rPr>
          <w:sz w:val="20"/>
          <w:lang w:eastAsia="en-GB"/>
        </w:rPr>
        <w:t>s</w:t>
      </w:r>
      <w:r w:rsidRPr="00356AA1">
        <w:rPr>
          <w:sz w:val="20"/>
          <w:lang w:eastAsia="en-GB"/>
        </w:rPr>
        <w:t xml:space="preserve"> </w:t>
      </w:r>
      <w:r w:rsidR="00731307">
        <w:rPr>
          <w:sz w:val="20"/>
          <w:lang w:eastAsia="en-GB"/>
        </w:rPr>
        <w:t xml:space="preserve">that </w:t>
      </w:r>
      <w:r w:rsidRPr="00356AA1">
        <w:rPr>
          <w:sz w:val="20"/>
          <w:lang w:eastAsia="en-GB"/>
        </w:rPr>
        <w:t>the predecessor institution, the R</w:t>
      </w:r>
      <w:r w:rsidR="00593F2B">
        <w:rPr>
          <w:sz w:val="20"/>
          <w:lang w:eastAsia="en-GB"/>
        </w:rPr>
        <w:t xml:space="preserve">oyal </w:t>
      </w:r>
      <w:r w:rsidRPr="00356AA1">
        <w:rPr>
          <w:sz w:val="20"/>
          <w:lang w:eastAsia="en-GB"/>
        </w:rPr>
        <w:t>U</w:t>
      </w:r>
      <w:r w:rsidR="00593F2B">
        <w:rPr>
          <w:sz w:val="20"/>
          <w:lang w:eastAsia="en-GB"/>
        </w:rPr>
        <w:t xml:space="preserve">lster </w:t>
      </w:r>
      <w:r w:rsidRPr="00356AA1">
        <w:rPr>
          <w:sz w:val="20"/>
          <w:lang w:eastAsia="en-GB"/>
        </w:rPr>
        <w:t>C</w:t>
      </w:r>
      <w:r w:rsidR="00593F2B">
        <w:rPr>
          <w:sz w:val="20"/>
          <w:lang w:eastAsia="en-GB"/>
        </w:rPr>
        <w:t>onstabulary</w:t>
      </w:r>
      <w:r w:rsidRPr="00356AA1">
        <w:rPr>
          <w:sz w:val="20"/>
          <w:lang w:eastAsia="en-GB"/>
        </w:rPr>
        <w:t>, was not particularly trusted by one of the communities in N</w:t>
      </w:r>
      <w:r w:rsidR="00731307">
        <w:rPr>
          <w:sz w:val="20"/>
          <w:lang w:eastAsia="en-GB"/>
        </w:rPr>
        <w:t xml:space="preserve">orthern </w:t>
      </w:r>
      <w:r w:rsidRPr="00356AA1">
        <w:rPr>
          <w:sz w:val="20"/>
          <w:lang w:eastAsia="en-GB"/>
        </w:rPr>
        <w:t>I</w:t>
      </w:r>
      <w:r w:rsidR="00731307">
        <w:rPr>
          <w:sz w:val="20"/>
          <w:lang w:eastAsia="en-GB"/>
        </w:rPr>
        <w:t>reland</w:t>
      </w:r>
      <w:r w:rsidRPr="00356AA1">
        <w:rPr>
          <w:sz w:val="20"/>
          <w:lang w:eastAsia="en-GB"/>
        </w:rPr>
        <w:t>.</w:t>
      </w:r>
      <w:r w:rsidRPr="00FF4737">
        <w:rPr>
          <w:rStyle w:val="FootnoteReference"/>
          <w:lang w:eastAsia="en-GB"/>
        </w:rPr>
        <w:footnoteReference w:id="26"/>
      </w:r>
      <w:r w:rsidRPr="00FF4737">
        <w:rPr>
          <w:lang w:eastAsia="en-GB"/>
        </w:rPr>
        <w:t xml:space="preserve"> </w:t>
      </w:r>
    </w:p>
    <w:p w:rsidR="00FF4737" w:rsidRPr="00356AA1" w:rsidRDefault="0060657A" w:rsidP="00356AA1">
      <w:pPr>
        <w:pStyle w:val="H23G"/>
        <w:spacing w:line="240" w:lineRule="atLeast"/>
        <w:rPr>
          <w:sz w:val="20"/>
          <w:lang w:eastAsia="en-GB"/>
        </w:rPr>
      </w:pPr>
      <w:r w:rsidRPr="00356AA1">
        <w:rPr>
          <w:sz w:val="20"/>
          <w:lang w:eastAsia="en-GB"/>
        </w:rPr>
        <w:tab/>
      </w:r>
      <w:r w:rsidR="006178F3" w:rsidRPr="00356AA1">
        <w:rPr>
          <w:sz w:val="20"/>
          <w:lang w:eastAsia="en-GB"/>
        </w:rPr>
        <w:t>2.</w:t>
      </w:r>
      <w:r w:rsidRPr="00356AA1">
        <w:rPr>
          <w:sz w:val="20"/>
          <w:lang w:eastAsia="en-GB"/>
        </w:rPr>
        <w:tab/>
        <w:t xml:space="preserve">Patten report </w:t>
      </w:r>
    </w:p>
    <w:p w:rsidR="00FF4737" w:rsidRPr="00FF4737" w:rsidRDefault="0060657A">
      <w:pPr>
        <w:pStyle w:val="SingleTxtG"/>
        <w:rPr>
          <w:lang w:eastAsia="en-GB"/>
        </w:rPr>
      </w:pPr>
      <w:r w:rsidRPr="00356AA1">
        <w:rPr>
          <w:sz w:val="20"/>
          <w:lang w:eastAsia="en-GB"/>
        </w:rPr>
        <w:t>8</w:t>
      </w:r>
      <w:r w:rsidR="0042434E">
        <w:rPr>
          <w:sz w:val="20"/>
          <w:lang w:eastAsia="en-GB"/>
        </w:rPr>
        <w:t>7</w:t>
      </w:r>
      <w:r w:rsidRPr="00356AA1">
        <w:rPr>
          <w:sz w:val="20"/>
          <w:lang w:eastAsia="en-GB"/>
        </w:rPr>
        <w:t>.</w:t>
      </w:r>
      <w:r w:rsidRPr="00356AA1">
        <w:rPr>
          <w:sz w:val="20"/>
          <w:lang w:eastAsia="en-GB"/>
        </w:rPr>
        <w:tab/>
        <w:t xml:space="preserve">As a result of the </w:t>
      </w:r>
      <w:r w:rsidR="002A66AC">
        <w:rPr>
          <w:sz w:val="20"/>
          <w:lang w:eastAsia="en-GB"/>
        </w:rPr>
        <w:t>Good Friday</w:t>
      </w:r>
      <w:r w:rsidR="002843F6">
        <w:rPr>
          <w:sz w:val="20"/>
          <w:lang w:eastAsia="en-GB"/>
        </w:rPr>
        <w:t xml:space="preserve"> </w:t>
      </w:r>
      <w:r w:rsidRPr="00356AA1">
        <w:rPr>
          <w:sz w:val="20"/>
          <w:lang w:eastAsia="en-GB"/>
        </w:rPr>
        <w:t xml:space="preserve">Agreement, the Independent Commission on Policing for Northern Ireland (Patten Commission) was established in 1998 to conduct a fundamental review of </w:t>
      </w:r>
      <w:r w:rsidR="002A66AC">
        <w:rPr>
          <w:sz w:val="20"/>
          <w:lang w:eastAsia="en-GB"/>
        </w:rPr>
        <w:t xml:space="preserve">the </w:t>
      </w:r>
      <w:r w:rsidRPr="00356AA1">
        <w:rPr>
          <w:sz w:val="20"/>
          <w:lang w:eastAsia="en-GB"/>
        </w:rPr>
        <w:t>R</w:t>
      </w:r>
      <w:r w:rsidR="002A66AC">
        <w:rPr>
          <w:sz w:val="20"/>
          <w:lang w:eastAsia="en-GB"/>
        </w:rPr>
        <w:t xml:space="preserve">oyal </w:t>
      </w:r>
      <w:r w:rsidRPr="00356AA1">
        <w:rPr>
          <w:sz w:val="20"/>
          <w:lang w:eastAsia="en-GB"/>
        </w:rPr>
        <w:t>U</w:t>
      </w:r>
      <w:r w:rsidR="002A66AC">
        <w:rPr>
          <w:sz w:val="20"/>
          <w:lang w:eastAsia="en-GB"/>
        </w:rPr>
        <w:t xml:space="preserve">lster </w:t>
      </w:r>
      <w:r w:rsidRPr="00356AA1">
        <w:rPr>
          <w:sz w:val="20"/>
          <w:lang w:eastAsia="en-GB"/>
        </w:rPr>
        <w:t>C</w:t>
      </w:r>
      <w:r w:rsidR="002A66AC">
        <w:rPr>
          <w:sz w:val="20"/>
          <w:lang w:eastAsia="en-GB"/>
        </w:rPr>
        <w:t>onstabulary</w:t>
      </w:r>
      <w:r w:rsidRPr="00356AA1">
        <w:rPr>
          <w:sz w:val="20"/>
          <w:lang w:eastAsia="en-GB"/>
        </w:rPr>
        <w:t xml:space="preserve">. After extensive consultations </w:t>
      </w:r>
      <w:r w:rsidR="002843F6">
        <w:rPr>
          <w:sz w:val="20"/>
          <w:lang w:eastAsia="en-GB"/>
        </w:rPr>
        <w:t>–</w:t>
      </w:r>
      <w:r w:rsidR="002A66AC">
        <w:rPr>
          <w:sz w:val="20"/>
          <w:lang w:eastAsia="en-GB"/>
        </w:rPr>
        <w:t xml:space="preserve"> </w:t>
      </w:r>
      <w:r w:rsidRPr="00356AA1">
        <w:rPr>
          <w:sz w:val="20"/>
          <w:lang w:eastAsia="en-GB"/>
        </w:rPr>
        <w:t xml:space="preserve">the Commission met more than 10,000 </w:t>
      </w:r>
      <w:r w:rsidR="002A66AC">
        <w:rPr>
          <w:sz w:val="20"/>
          <w:lang w:eastAsia="en-GB"/>
        </w:rPr>
        <w:t>people</w:t>
      </w:r>
      <w:r w:rsidR="002A66AC" w:rsidRPr="00356AA1">
        <w:rPr>
          <w:sz w:val="20"/>
          <w:lang w:eastAsia="en-GB"/>
        </w:rPr>
        <w:t xml:space="preserve"> </w:t>
      </w:r>
      <w:r w:rsidRPr="00356AA1">
        <w:rPr>
          <w:sz w:val="20"/>
          <w:lang w:eastAsia="en-GB"/>
        </w:rPr>
        <w:t>and received 2,500 written submissions</w:t>
      </w:r>
      <w:r w:rsidR="002A66AC">
        <w:rPr>
          <w:sz w:val="20"/>
          <w:lang w:eastAsia="en-GB"/>
        </w:rPr>
        <w:t xml:space="preserve"> </w:t>
      </w:r>
      <w:r w:rsidR="002843F6">
        <w:rPr>
          <w:sz w:val="20"/>
          <w:lang w:eastAsia="en-GB"/>
        </w:rPr>
        <w:t>–</w:t>
      </w:r>
      <w:r w:rsidRPr="00356AA1">
        <w:rPr>
          <w:sz w:val="20"/>
          <w:lang w:eastAsia="en-GB"/>
        </w:rPr>
        <w:t xml:space="preserve"> </w:t>
      </w:r>
      <w:r w:rsidR="002A66AC">
        <w:rPr>
          <w:sz w:val="20"/>
          <w:lang w:eastAsia="en-GB"/>
        </w:rPr>
        <w:t xml:space="preserve">it </w:t>
      </w:r>
      <w:r w:rsidRPr="00356AA1">
        <w:rPr>
          <w:sz w:val="20"/>
          <w:lang w:eastAsia="en-GB"/>
        </w:rPr>
        <w:t xml:space="preserve">made </w:t>
      </w:r>
      <w:r w:rsidR="002A66AC">
        <w:rPr>
          <w:sz w:val="20"/>
          <w:lang w:eastAsia="en-GB"/>
        </w:rPr>
        <w:t xml:space="preserve">a number of </w:t>
      </w:r>
      <w:r w:rsidRPr="00356AA1">
        <w:rPr>
          <w:sz w:val="20"/>
          <w:lang w:eastAsia="en-GB"/>
        </w:rPr>
        <w:t>recommendations</w:t>
      </w:r>
      <w:r w:rsidR="002A66AC">
        <w:rPr>
          <w:sz w:val="20"/>
          <w:lang w:eastAsia="en-GB"/>
        </w:rPr>
        <w:t>,</w:t>
      </w:r>
      <w:r w:rsidRPr="00356AA1">
        <w:rPr>
          <w:sz w:val="20"/>
          <w:lang w:eastAsia="en-GB"/>
        </w:rPr>
        <w:t xml:space="preserve"> the majority of which were implemented and remain an important part of the P</w:t>
      </w:r>
      <w:r w:rsidR="002A66AC">
        <w:rPr>
          <w:sz w:val="20"/>
          <w:lang w:eastAsia="en-GB"/>
        </w:rPr>
        <w:t xml:space="preserve">olice </w:t>
      </w:r>
      <w:r w:rsidRPr="00356AA1">
        <w:rPr>
          <w:sz w:val="20"/>
          <w:lang w:eastAsia="en-GB"/>
        </w:rPr>
        <w:t>S</w:t>
      </w:r>
      <w:r w:rsidR="002A66AC">
        <w:rPr>
          <w:sz w:val="20"/>
          <w:lang w:eastAsia="en-GB"/>
        </w:rPr>
        <w:t xml:space="preserve">ervice of </w:t>
      </w:r>
      <w:r w:rsidRPr="00356AA1">
        <w:rPr>
          <w:sz w:val="20"/>
          <w:lang w:eastAsia="en-GB"/>
        </w:rPr>
        <w:t>N</w:t>
      </w:r>
      <w:r w:rsidR="002A66AC">
        <w:rPr>
          <w:sz w:val="20"/>
          <w:lang w:eastAsia="en-GB"/>
        </w:rPr>
        <w:t xml:space="preserve">orthern </w:t>
      </w:r>
      <w:r w:rsidRPr="00356AA1">
        <w:rPr>
          <w:sz w:val="20"/>
          <w:lang w:eastAsia="en-GB"/>
        </w:rPr>
        <w:t>I</w:t>
      </w:r>
      <w:r w:rsidR="002A66AC">
        <w:rPr>
          <w:sz w:val="20"/>
          <w:lang w:eastAsia="en-GB"/>
        </w:rPr>
        <w:t>reland</w:t>
      </w:r>
      <w:r w:rsidRPr="00356AA1">
        <w:rPr>
          <w:sz w:val="20"/>
          <w:lang w:eastAsia="en-GB"/>
        </w:rPr>
        <w:t>.</w:t>
      </w:r>
      <w:r w:rsidRPr="00FF4737">
        <w:rPr>
          <w:rStyle w:val="FootnoteReference"/>
          <w:lang w:eastAsia="en-GB"/>
        </w:rPr>
        <w:footnoteReference w:id="27"/>
      </w:r>
    </w:p>
    <w:p w:rsidR="00FF4737" w:rsidRPr="00403AE5" w:rsidRDefault="0060657A" w:rsidP="00403AE5">
      <w:pPr>
        <w:pStyle w:val="H4G"/>
        <w:rPr>
          <w:sz w:val="20"/>
          <w:szCs w:val="20"/>
        </w:rPr>
      </w:pPr>
      <w:r w:rsidRPr="00403AE5">
        <w:rPr>
          <w:sz w:val="20"/>
          <w:szCs w:val="20"/>
        </w:rPr>
        <w:tab/>
      </w:r>
      <w:r w:rsidR="002A66AC" w:rsidRPr="00403AE5">
        <w:rPr>
          <w:sz w:val="20"/>
          <w:szCs w:val="20"/>
        </w:rPr>
        <w:t>(a)</w:t>
      </w:r>
      <w:r w:rsidRPr="00403AE5">
        <w:rPr>
          <w:sz w:val="20"/>
          <w:szCs w:val="20"/>
        </w:rPr>
        <w:tab/>
        <w:t xml:space="preserve">Personnel </w:t>
      </w:r>
      <w:r w:rsidR="002A66AC" w:rsidRPr="00403AE5">
        <w:rPr>
          <w:sz w:val="20"/>
          <w:szCs w:val="20"/>
        </w:rPr>
        <w:t>r</w:t>
      </w:r>
      <w:r w:rsidRPr="00403AE5">
        <w:rPr>
          <w:sz w:val="20"/>
          <w:szCs w:val="20"/>
        </w:rPr>
        <w:t>enewal</w:t>
      </w:r>
    </w:p>
    <w:p w:rsidR="00FF4737" w:rsidRPr="00FF4737" w:rsidRDefault="0042434E">
      <w:pPr>
        <w:pStyle w:val="SingleTxtG"/>
        <w:rPr>
          <w:lang w:eastAsia="en-GB"/>
        </w:rPr>
      </w:pPr>
      <w:r>
        <w:rPr>
          <w:sz w:val="20"/>
          <w:lang w:eastAsia="en-GB"/>
        </w:rPr>
        <w:t>88</w:t>
      </w:r>
      <w:r w:rsidR="0060657A" w:rsidRPr="00356AA1">
        <w:rPr>
          <w:sz w:val="20"/>
          <w:lang w:eastAsia="en-GB"/>
        </w:rPr>
        <w:t>.</w:t>
      </w:r>
      <w:r w:rsidR="0060657A" w:rsidRPr="00356AA1">
        <w:rPr>
          <w:sz w:val="20"/>
          <w:lang w:eastAsia="en-GB"/>
        </w:rPr>
        <w:tab/>
      </w:r>
      <w:r w:rsidR="00F56ACB">
        <w:rPr>
          <w:sz w:val="20"/>
          <w:lang w:eastAsia="en-GB"/>
        </w:rPr>
        <w:t xml:space="preserve">According to </w:t>
      </w:r>
      <w:r w:rsidR="0060657A" w:rsidRPr="00356AA1">
        <w:rPr>
          <w:sz w:val="20"/>
          <w:lang w:eastAsia="en-GB"/>
        </w:rPr>
        <w:t>the P</w:t>
      </w:r>
      <w:r w:rsidR="009C55F4">
        <w:rPr>
          <w:sz w:val="20"/>
          <w:lang w:eastAsia="en-GB"/>
        </w:rPr>
        <w:t xml:space="preserve">olice </w:t>
      </w:r>
      <w:r w:rsidR="0060657A" w:rsidRPr="00356AA1">
        <w:rPr>
          <w:sz w:val="20"/>
          <w:lang w:eastAsia="en-GB"/>
        </w:rPr>
        <w:t>S</w:t>
      </w:r>
      <w:r w:rsidR="009C55F4">
        <w:rPr>
          <w:sz w:val="20"/>
          <w:lang w:eastAsia="en-GB"/>
        </w:rPr>
        <w:t>ervice of Northern Ireland</w:t>
      </w:r>
      <w:r w:rsidR="0060657A" w:rsidRPr="00356AA1">
        <w:rPr>
          <w:sz w:val="20"/>
          <w:lang w:eastAsia="en-GB"/>
        </w:rPr>
        <w:t xml:space="preserve">, following 1998, </w:t>
      </w:r>
      <w:r w:rsidR="009C55F4">
        <w:rPr>
          <w:sz w:val="20"/>
          <w:lang w:eastAsia="en-GB"/>
        </w:rPr>
        <w:t>turn</w:t>
      </w:r>
      <w:r w:rsidR="009C55F4" w:rsidRPr="00873230">
        <w:rPr>
          <w:sz w:val="20"/>
          <w:lang w:eastAsia="en-GB"/>
        </w:rPr>
        <w:t xml:space="preserve">over </w:t>
      </w:r>
      <w:r w:rsidR="009C55F4">
        <w:rPr>
          <w:sz w:val="20"/>
          <w:lang w:eastAsia="en-GB"/>
        </w:rPr>
        <w:t xml:space="preserve">of </w:t>
      </w:r>
      <w:r w:rsidR="0060657A" w:rsidRPr="00356AA1">
        <w:rPr>
          <w:sz w:val="20"/>
          <w:lang w:eastAsia="en-GB"/>
        </w:rPr>
        <w:t>personnel was 5</w:t>
      </w:r>
      <w:r w:rsidR="009C55F4">
        <w:rPr>
          <w:sz w:val="20"/>
          <w:lang w:eastAsia="en-GB"/>
        </w:rPr>
        <w:t>,</w:t>
      </w:r>
      <w:r w:rsidR="0060657A" w:rsidRPr="00356AA1">
        <w:rPr>
          <w:sz w:val="20"/>
          <w:lang w:eastAsia="en-GB"/>
        </w:rPr>
        <w:t>800 out of 6</w:t>
      </w:r>
      <w:r w:rsidR="009C55F4">
        <w:rPr>
          <w:sz w:val="20"/>
          <w:lang w:eastAsia="en-GB"/>
        </w:rPr>
        <w:t>,</w:t>
      </w:r>
      <w:r w:rsidR="0060657A" w:rsidRPr="00356AA1">
        <w:rPr>
          <w:sz w:val="20"/>
          <w:lang w:eastAsia="en-GB"/>
        </w:rPr>
        <w:t>800</w:t>
      </w:r>
      <w:r w:rsidR="009C55F4">
        <w:rPr>
          <w:sz w:val="20"/>
          <w:lang w:eastAsia="en-GB"/>
        </w:rPr>
        <w:t xml:space="preserve">, </w:t>
      </w:r>
      <w:r w:rsidR="0060657A" w:rsidRPr="00356AA1">
        <w:rPr>
          <w:sz w:val="20"/>
          <w:lang w:eastAsia="en-GB"/>
        </w:rPr>
        <w:t xml:space="preserve">achieved </w:t>
      </w:r>
      <w:r w:rsidR="009C55F4">
        <w:rPr>
          <w:sz w:val="20"/>
          <w:lang w:eastAsia="en-GB"/>
        </w:rPr>
        <w:t xml:space="preserve">mainly by the proposal of </w:t>
      </w:r>
      <w:r w:rsidR="0060657A" w:rsidRPr="00356AA1">
        <w:rPr>
          <w:sz w:val="20"/>
          <w:lang w:eastAsia="en-GB"/>
        </w:rPr>
        <w:t xml:space="preserve">early retirement or severance packages. </w:t>
      </w:r>
      <w:r w:rsidR="009C55F4">
        <w:rPr>
          <w:sz w:val="20"/>
          <w:lang w:eastAsia="en-GB"/>
        </w:rPr>
        <w:t xml:space="preserve">The result of such a large </w:t>
      </w:r>
      <w:r w:rsidR="0060657A" w:rsidRPr="00356AA1">
        <w:rPr>
          <w:sz w:val="20"/>
          <w:lang w:eastAsia="en-GB"/>
        </w:rPr>
        <w:t xml:space="preserve">turnover </w:t>
      </w:r>
      <w:r w:rsidR="009C55F4">
        <w:rPr>
          <w:sz w:val="20"/>
          <w:lang w:eastAsia="en-GB"/>
        </w:rPr>
        <w:t>was</w:t>
      </w:r>
      <w:r w:rsidR="0060657A" w:rsidRPr="00356AA1">
        <w:rPr>
          <w:sz w:val="20"/>
          <w:lang w:eastAsia="en-GB"/>
        </w:rPr>
        <w:t xml:space="preserve"> an almost entirely new police force</w:t>
      </w:r>
      <w:r w:rsidR="008516A6">
        <w:rPr>
          <w:sz w:val="20"/>
          <w:lang w:eastAsia="en-GB"/>
        </w:rPr>
        <w:t xml:space="preserve">, </w:t>
      </w:r>
      <w:proofErr w:type="gramStart"/>
      <w:r w:rsidR="008516A6">
        <w:rPr>
          <w:sz w:val="20"/>
          <w:lang w:eastAsia="en-GB"/>
        </w:rPr>
        <w:t>even though no</w:t>
      </w:r>
      <w:r w:rsidR="0060657A" w:rsidRPr="00356AA1">
        <w:rPr>
          <w:sz w:val="20"/>
          <w:lang w:eastAsia="en-GB"/>
        </w:rPr>
        <w:t xml:space="preserve"> explicit vetting process</w:t>
      </w:r>
      <w:r w:rsidR="008516A6">
        <w:rPr>
          <w:sz w:val="20"/>
          <w:lang w:eastAsia="en-GB"/>
        </w:rPr>
        <w:t xml:space="preserve"> was followed</w:t>
      </w:r>
      <w:r w:rsidR="0025217A">
        <w:rPr>
          <w:sz w:val="20"/>
          <w:lang w:eastAsia="en-GB"/>
        </w:rPr>
        <w:t xml:space="preserve"> neither for officers already employed nor for</w:t>
      </w:r>
      <w:r w:rsidR="0060657A" w:rsidRPr="00356AA1">
        <w:rPr>
          <w:sz w:val="20"/>
          <w:lang w:eastAsia="en-GB"/>
        </w:rPr>
        <w:t xml:space="preserve"> new applicants</w:t>
      </w:r>
      <w:proofErr w:type="gramEnd"/>
      <w:r w:rsidR="0060657A" w:rsidRPr="00356AA1">
        <w:rPr>
          <w:sz w:val="20"/>
          <w:lang w:eastAsia="en-GB"/>
        </w:rPr>
        <w:t>.</w:t>
      </w:r>
      <w:r w:rsidR="0060657A" w:rsidRPr="00D46D60">
        <w:rPr>
          <w:rStyle w:val="FootnoteReference"/>
          <w:szCs w:val="18"/>
          <w:lang w:eastAsia="en-GB"/>
        </w:rPr>
        <w:footnoteReference w:id="28"/>
      </w:r>
      <w:r w:rsidR="0060657A" w:rsidRPr="00FF4737">
        <w:rPr>
          <w:lang w:eastAsia="en-GB"/>
        </w:rPr>
        <w:t xml:space="preserve"> </w:t>
      </w:r>
    </w:p>
    <w:p w:rsidR="00FF4737" w:rsidRPr="00403AE5" w:rsidRDefault="0060657A" w:rsidP="00403AE5">
      <w:pPr>
        <w:pStyle w:val="H4G"/>
        <w:rPr>
          <w:sz w:val="20"/>
          <w:szCs w:val="20"/>
        </w:rPr>
      </w:pPr>
      <w:r w:rsidRPr="00403AE5">
        <w:rPr>
          <w:sz w:val="20"/>
          <w:szCs w:val="20"/>
        </w:rPr>
        <w:tab/>
      </w:r>
      <w:r w:rsidR="002A66AC" w:rsidRPr="00403AE5">
        <w:rPr>
          <w:sz w:val="20"/>
          <w:szCs w:val="20"/>
        </w:rPr>
        <w:t>(b)</w:t>
      </w:r>
      <w:r w:rsidRPr="00403AE5">
        <w:rPr>
          <w:sz w:val="20"/>
          <w:szCs w:val="20"/>
        </w:rPr>
        <w:tab/>
        <w:t xml:space="preserve">Representativeness of </w:t>
      </w:r>
      <w:r w:rsidR="002A66AC" w:rsidRPr="00403AE5">
        <w:rPr>
          <w:sz w:val="20"/>
          <w:szCs w:val="20"/>
        </w:rPr>
        <w:t xml:space="preserve">the </w:t>
      </w:r>
      <w:r w:rsidRPr="00403AE5">
        <w:rPr>
          <w:sz w:val="20"/>
          <w:szCs w:val="20"/>
        </w:rPr>
        <w:t>police force</w:t>
      </w:r>
    </w:p>
    <w:p w:rsidR="00FF4737" w:rsidRPr="00356AA1" w:rsidRDefault="0042434E">
      <w:pPr>
        <w:pStyle w:val="SingleTxtG"/>
        <w:rPr>
          <w:sz w:val="20"/>
          <w:lang w:eastAsia="en-GB"/>
        </w:rPr>
      </w:pPr>
      <w:r>
        <w:rPr>
          <w:sz w:val="20"/>
          <w:lang w:eastAsia="en-GB"/>
        </w:rPr>
        <w:t>8</w:t>
      </w:r>
      <w:r w:rsidR="0060657A" w:rsidRPr="00356AA1">
        <w:rPr>
          <w:sz w:val="20"/>
          <w:lang w:eastAsia="en-GB"/>
        </w:rPr>
        <w:t>9.</w:t>
      </w:r>
      <w:r w:rsidR="0060657A" w:rsidRPr="00356AA1">
        <w:rPr>
          <w:sz w:val="20"/>
          <w:lang w:eastAsia="en-GB"/>
        </w:rPr>
        <w:tab/>
        <w:t xml:space="preserve">The renewal of the </w:t>
      </w:r>
      <w:r w:rsidR="008516A6">
        <w:rPr>
          <w:sz w:val="20"/>
          <w:lang w:eastAsia="en-GB"/>
        </w:rPr>
        <w:t xml:space="preserve">police </w:t>
      </w:r>
      <w:r w:rsidR="0060657A" w:rsidRPr="00356AA1">
        <w:rPr>
          <w:sz w:val="20"/>
          <w:lang w:eastAsia="en-GB"/>
        </w:rPr>
        <w:t xml:space="preserve">force was accompanied by a 50/50 recruitment policy </w:t>
      </w:r>
      <w:r w:rsidR="008516A6">
        <w:rPr>
          <w:sz w:val="20"/>
          <w:lang w:eastAsia="en-GB"/>
        </w:rPr>
        <w:t>that was applied</w:t>
      </w:r>
      <w:r w:rsidR="0060657A" w:rsidRPr="00356AA1">
        <w:rPr>
          <w:sz w:val="20"/>
          <w:lang w:eastAsia="en-GB"/>
        </w:rPr>
        <w:t xml:space="preserve"> for 10 years</w:t>
      </w:r>
      <w:r w:rsidR="008516A6">
        <w:rPr>
          <w:sz w:val="20"/>
          <w:lang w:eastAsia="en-GB"/>
        </w:rPr>
        <w:t>,</w:t>
      </w:r>
      <w:r w:rsidR="0060657A" w:rsidRPr="00356AA1">
        <w:rPr>
          <w:sz w:val="20"/>
          <w:lang w:eastAsia="en-GB"/>
        </w:rPr>
        <w:t xml:space="preserve"> in accordance with section 46 of the Police </w:t>
      </w:r>
      <w:r w:rsidR="008516A6" w:rsidRPr="00306E7D">
        <w:rPr>
          <w:sz w:val="20"/>
          <w:lang w:eastAsia="en-GB"/>
        </w:rPr>
        <w:t xml:space="preserve">(Northern Ireland) </w:t>
      </w:r>
      <w:r w:rsidR="0060657A" w:rsidRPr="00356AA1">
        <w:rPr>
          <w:sz w:val="20"/>
          <w:lang w:eastAsia="en-GB"/>
        </w:rPr>
        <w:t xml:space="preserve">Act 2000 </w:t>
      </w:r>
      <w:r w:rsidR="0097031D">
        <w:rPr>
          <w:sz w:val="20"/>
          <w:lang w:eastAsia="en-GB"/>
        </w:rPr>
        <w:t xml:space="preserve">and </w:t>
      </w:r>
      <w:r w:rsidR="0060657A" w:rsidRPr="00356AA1">
        <w:rPr>
          <w:sz w:val="20"/>
          <w:lang w:eastAsia="en-GB"/>
        </w:rPr>
        <w:t xml:space="preserve">the aspiration </w:t>
      </w:r>
      <w:r w:rsidR="0097031D">
        <w:rPr>
          <w:sz w:val="20"/>
          <w:lang w:eastAsia="en-GB"/>
        </w:rPr>
        <w:t>expressed in the Good Friday</w:t>
      </w:r>
      <w:r w:rsidR="009B0386">
        <w:rPr>
          <w:sz w:val="20"/>
          <w:lang w:eastAsia="en-GB"/>
        </w:rPr>
        <w:t xml:space="preserve"> </w:t>
      </w:r>
      <w:r w:rsidR="0060657A" w:rsidRPr="00356AA1">
        <w:rPr>
          <w:sz w:val="20"/>
          <w:lang w:eastAsia="en-GB"/>
        </w:rPr>
        <w:t xml:space="preserve">Agreement </w:t>
      </w:r>
      <w:r w:rsidR="0097031D">
        <w:rPr>
          <w:sz w:val="20"/>
          <w:lang w:eastAsia="en-GB"/>
        </w:rPr>
        <w:t>of</w:t>
      </w:r>
      <w:r w:rsidR="0060657A" w:rsidRPr="00356AA1">
        <w:rPr>
          <w:sz w:val="20"/>
          <w:lang w:eastAsia="en-GB"/>
        </w:rPr>
        <w:t xml:space="preserve"> increas</w:t>
      </w:r>
      <w:r w:rsidR="0097031D">
        <w:rPr>
          <w:sz w:val="20"/>
          <w:lang w:eastAsia="en-GB"/>
        </w:rPr>
        <w:t>ing</w:t>
      </w:r>
      <w:r w:rsidR="0060657A" w:rsidRPr="00356AA1">
        <w:rPr>
          <w:sz w:val="20"/>
          <w:lang w:eastAsia="en-GB"/>
        </w:rPr>
        <w:t xml:space="preserve"> the </w:t>
      </w:r>
      <w:r w:rsidR="0060657A" w:rsidRPr="00356AA1">
        <w:rPr>
          <w:sz w:val="20"/>
          <w:lang w:eastAsia="en-GB"/>
        </w:rPr>
        <w:lastRenderedPageBreak/>
        <w:t xml:space="preserve">representativeness of the force. </w:t>
      </w:r>
      <w:r w:rsidR="0097031D">
        <w:rPr>
          <w:sz w:val="20"/>
          <w:lang w:eastAsia="en-GB"/>
        </w:rPr>
        <w:t>According to the Patten Commission, w</w:t>
      </w:r>
      <w:r w:rsidR="0060657A" w:rsidRPr="00356AA1">
        <w:rPr>
          <w:sz w:val="20"/>
          <w:lang w:eastAsia="en-GB"/>
        </w:rPr>
        <w:t>hen the Agreement was signed</w:t>
      </w:r>
      <w:r w:rsidR="0097031D">
        <w:rPr>
          <w:sz w:val="20"/>
          <w:lang w:eastAsia="en-GB"/>
        </w:rPr>
        <w:t>,</w:t>
      </w:r>
      <w:r w:rsidR="0060657A" w:rsidRPr="00356AA1">
        <w:rPr>
          <w:sz w:val="20"/>
          <w:lang w:eastAsia="en-GB"/>
        </w:rPr>
        <w:t xml:space="preserve"> the R</w:t>
      </w:r>
      <w:r w:rsidR="0097031D">
        <w:rPr>
          <w:sz w:val="20"/>
          <w:lang w:eastAsia="en-GB"/>
        </w:rPr>
        <w:t xml:space="preserve">oyal </w:t>
      </w:r>
      <w:r w:rsidR="0060657A" w:rsidRPr="00356AA1">
        <w:rPr>
          <w:sz w:val="20"/>
          <w:lang w:eastAsia="en-GB"/>
        </w:rPr>
        <w:t>U</w:t>
      </w:r>
      <w:r w:rsidR="0097031D">
        <w:rPr>
          <w:sz w:val="20"/>
          <w:lang w:eastAsia="en-GB"/>
        </w:rPr>
        <w:t xml:space="preserve">lster </w:t>
      </w:r>
      <w:r w:rsidR="0060657A" w:rsidRPr="00356AA1">
        <w:rPr>
          <w:sz w:val="20"/>
          <w:lang w:eastAsia="en-GB"/>
        </w:rPr>
        <w:t>C</w:t>
      </w:r>
      <w:r w:rsidR="0097031D">
        <w:rPr>
          <w:sz w:val="20"/>
          <w:lang w:eastAsia="en-GB"/>
        </w:rPr>
        <w:t>onstabulary</w:t>
      </w:r>
      <w:r w:rsidR="0060657A" w:rsidRPr="00356AA1">
        <w:rPr>
          <w:sz w:val="20"/>
          <w:lang w:eastAsia="en-GB"/>
        </w:rPr>
        <w:t xml:space="preserve"> was overwhelmingly Protestant (92</w:t>
      </w:r>
      <w:r w:rsidR="0097031D">
        <w:rPr>
          <w:sz w:val="20"/>
          <w:lang w:eastAsia="en-GB"/>
        </w:rPr>
        <w:t xml:space="preserve"> per cent</w:t>
      </w:r>
      <w:r w:rsidR="0060657A" w:rsidRPr="00356AA1">
        <w:rPr>
          <w:sz w:val="20"/>
          <w:lang w:eastAsia="en-GB"/>
        </w:rPr>
        <w:t>).</w:t>
      </w:r>
    </w:p>
    <w:p w:rsidR="00FF4737" w:rsidRPr="00356AA1" w:rsidRDefault="0060657A">
      <w:pPr>
        <w:pStyle w:val="SingleTxtG"/>
        <w:rPr>
          <w:sz w:val="20"/>
          <w:lang w:eastAsia="en-GB"/>
        </w:rPr>
      </w:pPr>
      <w:r w:rsidRPr="00356AA1">
        <w:rPr>
          <w:sz w:val="20"/>
          <w:lang w:eastAsia="en-GB"/>
        </w:rPr>
        <w:t>9</w:t>
      </w:r>
      <w:r w:rsidR="0042434E">
        <w:rPr>
          <w:sz w:val="20"/>
          <w:lang w:eastAsia="en-GB"/>
        </w:rPr>
        <w:t>0</w:t>
      </w:r>
      <w:r w:rsidRPr="00356AA1">
        <w:rPr>
          <w:sz w:val="20"/>
          <w:lang w:eastAsia="en-GB"/>
        </w:rPr>
        <w:t>.</w:t>
      </w:r>
      <w:r w:rsidRPr="00356AA1">
        <w:rPr>
          <w:sz w:val="20"/>
          <w:lang w:eastAsia="en-GB"/>
        </w:rPr>
        <w:tab/>
        <w:t xml:space="preserve">Affirmative action recruitment schemes </w:t>
      </w:r>
      <w:r w:rsidR="0097031D">
        <w:rPr>
          <w:sz w:val="20"/>
          <w:lang w:eastAsia="en-GB"/>
        </w:rPr>
        <w:t>adopted by</w:t>
      </w:r>
      <w:r w:rsidRPr="00356AA1">
        <w:rPr>
          <w:sz w:val="20"/>
          <w:lang w:eastAsia="en-GB"/>
        </w:rPr>
        <w:t xml:space="preserve"> the P</w:t>
      </w:r>
      <w:r w:rsidR="0097031D">
        <w:rPr>
          <w:sz w:val="20"/>
          <w:lang w:eastAsia="en-GB"/>
        </w:rPr>
        <w:t xml:space="preserve">olice </w:t>
      </w:r>
      <w:r w:rsidRPr="00356AA1">
        <w:rPr>
          <w:sz w:val="20"/>
          <w:lang w:eastAsia="en-GB"/>
        </w:rPr>
        <w:t>S</w:t>
      </w:r>
      <w:r w:rsidR="0097031D">
        <w:rPr>
          <w:sz w:val="20"/>
          <w:lang w:eastAsia="en-GB"/>
        </w:rPr>
        <w:t xml:space="preserve">ervice </w:t>
      </w:r>
      <w:r w:rsidRPr="00356AA1">
        <w:rPr>
          <w:sz w:val="20"/>
          <w:lang w:eastAsia="en-GB"/>
        </w:rPr>
        <w:t xml:space="preserve">until 2011 brought the </w:t>
      </w:r>
      <w:r w:rsidR="0097031D">
        <w:rPr>
          <w:sz w:val="20"/>
          <w:lang w:eastAsia="en-GB"/>
        </w:rPr>
        <w:t>proportion</w:t>
      </w:r>
      <w:r w:rsidRPr="00356AA1">
        <w:rPr>
          <w:sz w:val="20"/>
          <w:lang w:eastAsia="en-GB"/>
        </w:rPr>
        <w:t xml:space="preserve"> of Catholics to 31 </w:t>
      </w:r>
      <w:r w:rsidR="0097031D">
        <w:rPr>
          <w:sz w:val="20"/>
          <w:lang w:eastAsia="en-GB"/>
        </w:rPr>
        <w:t xml:space="preserve">per cent </w:t>
      </w:r>
      <w:r w:rsidRPr="00356AA1">
        <w:rPr>
          <w:sz w:val="20"/>
          <w:lang w:eastAsia="en-GB"/>
        </w:rPr>
        <w:t>among police officers and about 20</w:t>
      </w:r>
      <w:r w:rsidR="008516A6">
        <w:rPr>
          <w:sz w:val="20"/>
          <w:lang w:eastAsia="en-GB"/>
        </w:rPr>
        <w:t xml:space="preserve"> per cent</w:t>
      </w:r>
      <w:r w:rsidRPr="00356AA1">
        <w:rPr>
          <w:sz w:val="20"/>
          <w:lang w:eastAsia="en-GB"/>
        </w:rPr>
        <w:t xml:space="preserve"> among police staff (as at 1 November 2015). Similarly, the percentage of female police officers </w:t>
      </w:r>
      <w:r w:rsidR="0097031D">
        <w:rPr>
          <w:sz w:val="20"/>
          <w:lang w:eastAsia="en-GB"/>
        </w:rPr>
        <w:t>rose</w:t>
      </w:r>
      <w:r w:rsidRPr="00356AA1">
        <w:rPr>
          <w:sz w:val="20"/>
          <w:lang w:eastAsia="en-GB"/>
        </w:rPr>
        <w:t xml:space="preserve"> from 12</w:t>
      </w:r>
      <w:r w:rsidR="008516A6">
        <w:rPr>
          <w:sz w:val="20"/>
          <w:lang w:eastAsia="en-GB"/>
        </w:rPr>
        <w:t xml:space="preserve"> </w:t>
      </w:r>
      <w:r w:rsidRPr="00356AA1">
        <w:rPr>
          <w:sz w:val="20"/>
          <w:lang w:eastAsia="en-GB"/>
        </w:rPr>
        <w:t>to 28</w:t>
      </w:r>
      <w:r w:rsidR="008516A6">
        <w:rPr>
          <w:sz w:val="20"/>
          <w:lang w:eastAsia="en-GB"/>
        </w:rPr>
        <w:t xml:space="preserve"> per cent</w:t>
      </w:r>
      <w:r w:rsidRPr="00356AA1">
        <w:rPr>
          <w:sz w:val="20"/>
          <w:lang w:eastAsia="en-GB"/>
        </w:rPr>
        <w:t xml:space="preserve">. </w:t>
      </w:r>
    </w:p>
    <w:p w:rsidR="00FF4737" w:rsidRPr="00FF4737" w:rsidRDefault="0060657A">
      <w:pPr>
        <w:pStyle w:val="SingleTxtG"/>
        <w:rPr>
          <w:lang w:eastAsia="en-GB"/>
        </w:rPr>
      </w:pPr>
      <w:r w:rsidRPr="00356AA1">
        <w:rPr>
          <w:sz w:val="20"/>
          <w:lang w:eastAsia="en-GB"/>
        </w:rPr>
        <w:t>9</w:t>
      </w:r>
      <w:r w:rsidR="0042434E">
        <w:rPr>
          <w:sz w:val="20"/>
          <w:lang w:eastAsia="en-GB"/>
        </w:rPr>
        <w:t>1</w:t>
      </w:r>
      <w:r w:rsidRPr="00356AA1">
        <w:rPr>
          <w:sz w:val="20"/>
          <w:lang w:eastAsia="en-GB"/>
        </w:rPr>
        <w:t>.</w:t>
      </w:r>
      <w:r w:rsidRPr="00356AA1">
        <w:rPr>
          <w:sz w:val="20"/>
          <w:lang w:eastAsia="en-GB"/>
        </w:rPr>
        <w:tab/>
        <w:t xml:space="preserve">The Patten </w:t>
      </w:r>
      <w:r w:rsidR="0097031D">
        <w:rPr>
          <w:sz w:val="20"/>
          <w:lang w:eastAsia="en-GB"/>
        </w:rPr>
        <w:t>Commission</w:t>
      </w:r>
      <w:r w:rsidR="0097031D" w:rsidRPr="00356AA1">
        <w:rPr>
          <w:sz w:val="20"/>
          <w:lang w:eastAsia="en-GB"/>
        </w:rPr>
        <w:t xml:space="preserve"> </w:t>
      </w:r>
      <w:r w:rsidRPr="00356AA1">
        <w:rPr>
          <w:sz w:val="20"/>
          <w:lang w:eastAsia="en-GB"/>
        </w:rPr>
        <w:t>recommended that the Policing Board and the office of the Police Ombudsman should also be broadly reflective of the population.</w:t>
      </w:r>
    </w:p>
    <w:p w:rsidR="00FF4737" w:rsidRPr="00403AE5" w:rsidRDefault="0060657A" w:rsidP="00403AE5">
      <w:pPr>
        <w:pStyle w:val="H4G"/>
        <w:rPr>
          <w:sz w:val="20"/>
          <w:szCs w:val="20"/>
        </w:rPr>
      </w:pPr>
      <w:r w:rsidRPr="00403AE5">
        <w:rPr>
          <w:sz w:val="20"/>
          <w:szCs w:val="20"/>
        </w:rPr>
        <w:tab/>
      </w:r>
      <w:r w:rsidR="002A66AC" w:rsidRPr="00403AE5">
        <w:rPr>
          <w:sz w:val="20"/>
          <w:szCs w:val="20"/>
        </w:rPr>
        <w:t>(c)</w:t>
      </w:r>
      <w:r w:rsidRPr="00403AE5">
        <w:rPr>
          <w:sz w:val="20"/>
          <w:szCs w:val="20"/>
        </w:rPr>
        <w:tab/>
        <w:t>Accountability and oversight bodies</w:t>
      </w:r>
    </w:p>
    <w:p w:rsidR="00FF4737" w:rsidRPr="00356AA1" w:rsidRDefault="0060657A">
      <w:pPr>
        <w:pStyle w:val="SingleTxtG"/>
        <w:rPr>
          <w:sz w:val="20"/>
          <w:lang w:eastAsia="en-GB"/>
        </w:rPr>
      </w:pPr>
      <w:r w:rsidRPr="00356AA1">
        <w:rPr>
          <w:sz w:val="20"/>
          <w:lang w:eastAsia="en-GB"/>
        </w:rPr>
        <w:t>9</w:t>
      </w:r>
      <w:r w:rsidR="0042434E">
        <w:rPr>
          <w:sz w:val="20"/>
          <w:lang w:eastAsia="en-GB"/>
        </w:rPr>
        <w:t>2</w:t>
      </w:r>
      <w:r w:rsidRPr="00356AA1">
        <w:rPr>
          <w:sz w:val="20"/>
          <w:lang w:eastAsia="en-GB"/>
        </w:rPr>
        <w:t>.</w:t>
      </w:r>
      <w:r w:rsidRPr="00356AA1">
        <w:rPr>
          <w:sz w:val="20"/>
          <w:lang w:eastAsia="en-GB"/>
        </w:rPr>
        <w:tab/>
        <w:t xml:space="preserve">Policing </w:t>
      </w:r>
      <w:r w:rsidR="0097031D">
        <w:rPr>
          <w:sz w:val="20"/>
          <w:lang w:eastAsia="en-GB"/>
        </w:rPr>
        <w:t>r</w:t>
      </w:r>
      <w:r w:rsidRPr="00356AA1">
        <w:rPr>
          <w:sz w:val="20"/>
          <w:lang w:eastAsia="en-GB"/>
        </w:rPr>
        <w:t>eform also included the establishment of accountability and oversight bodies</w:t>
      </w:r>
      <w:r w:rsidR="00EF7CE9">
        <w:rPr>
          <w:sz w:val="20"/>
          <w:lang w:eastAsia="en-GB"/>
        </w:rPr>
        <w:t xml:space="preserve">, </w:t>
      </w:r>
      <w:r w:rsidRPr="00356AA1">
        <w:rPr>
          <w:sz w:val="20"/>
          <w:lang w:eastAsia="en-GB"/>
        </w:rPr>
        <w:t>part of the institutional structure that gives life to a human rights approach to policing in the P</w:t>
      </w:r>
      <w:r w:rsidR="00AB6866">
        <w:rPr>
          <w:sz w:val="20"/>
          <w:lang w:eastAsia="en-GB"/>
        </w:rPr>
        <w:t xml:space="preserve">olice </w:t>
      </w:r>
      <w:r w:rsidRPr="00356AA1">
        <w:rPr>
          <w:sz w:val="20"/>
          <w:lang w:eastAsia="en-GB"/>
        </w:rPr>
        <w:t>S</w:t>
      </w:r>
      <w:r w:rsidR="00AB6866">
        <w:rPr>
          <w:sz w:val="20"/>
          <w:lang w:eastAsia="en-GB"/>
        </w:rPr>
        <w:t>ervice,</w:t>
      </w:r>
      <w:r w:rsidRPr="00356AA1">
        <w:rPr>
          <w:sz w:val="20"/>
          <w:lang w:eastAsia="en-GB"/>
        </w:rPr>
        <w:t xml:space="preserve"> includ</w:t>
      </w:r>
      <w:r w:rsidR="00AB6866">
        <w:rPr>
          <w:sz w:val="20"/>
          <w:lang w:eastAsia="en-GB"/>
        </w:rPr>
        <w:t>ing</w:t>
      </w:r>
      <w:r w:rsidRPr="00356AA1">
        <w:rPr>
          <w:sz w:val="20"/>
          <w:lang w:eastAsia="en-GB"/>
        </w:rPr>
        <w:t xml:space="preserve"> a </w:t>
      </w:r>
      <w:r w:rsidR="00AB6866">
        <w:rPr>
          <w:sz w:val="20"/>
          <w:lang w:eastAsia="en-GB"/>
        </w:rPr>
        <w:t>h</w:t>
      </w:r>
      <w:r w:rsidRPr="00356AA1">
        <w:rPr>
          <w:sz w:val="20"/>
          <w:lang w:eastAsia="en-GB"/>
        </w:rPr>
        <w:t xml:space="preserve">uman </w:t>
      </w:r>
      <w:r w:rsidR="00AB6866">
        <w:rPr>
          <w:sz w:val="20"/>
          <w:lang w:eastAsia="en-GB"/>
        </w:rPr>
        <w:t>r</w:t>
      </w:r>
      <w:r w:rsidRPr="00356AA1">
        <w:rPr>
          <w:sz w:val="20"/>
          <w:lang w:eastAsia="en-GB"/>
        </w:rPr>
        <w:t xml:space="preserve">ights </w:t>
      </w:r>
      <w:r w:rsidR="00AB6866">
        <w:rPr>
          <w:sz w:val="20"/>
          <w:lang w:eastAsia="en-GB"/>
        </w:rPr>
        <w:t>a</w:t>
      </w:r>
      <w:r w:rsidRPr="00356AA1">
        <w:rPr>
          <w:sz w:val="20"/>
          <w:lang w:eastAsia="en-GB"/>
        </w:rPr>
        <w:t>dvis</w:t>
      </w:r>
      <w:r w:rsidR="00AB6866">
        <w:rPr>
          <w:sz w:val="20"/>
          <w:lang w:eastAsia="en-GB"/>
        </w:rPr>
        <w:t>e</w:t>
      </w:r>
      <w:r w:rsidRPr="00356AA1">
        <w:rPr>
          <w:sz w:val="20"/>
          <w:lang w:eastAsia="en-GB"/>
        </w:rPr>
        <w:t>r within the force</w:t>
      </w:r>
      <w:r w:rsidR="00AB6866">
        <w:rPr>
          <w:sz w:val="20"/>
          <w:lang w:eastAsia="en-GB"/>
        </w:rPr>
        <w:t xml:space="preserve"> and</w:t>
      </w:r>
      <w:r w:rsidRPr="00356AA1">
        <w:rPr>
          <w:sz w:val="20"/>
          <w:lang w:eastAsia="en-GB"/>
        </w:rPr>
        <w:t xml:space="preserve"> someone with full access to all P</w:t>
      </w:r>
      <w:r w:rsidR="00AB6866">
        <w:rPr>
          <w:sz w:val="20"/>
          <w:lang w:eastAsia="en-GB"/>
        </w:rPr>
        <w:t xml:space="preserve">olice </w:t>
      </w:r>
      <w:r w:rsidRPr="00356AA1">
        <w:rPr>
          <w:sz w:val="20"/>
          <w:lang w:eastAsia="en-GB"/>
        </w:rPr>
        <w:t>S</w:t>
      </w:r>
      <w:r w:rsidR="00AB6866">
        <w:rPr>
          <w:sz w:val="20"/>
          <w:lang w:eastAsia="en-GB"/>
        </w:rPr>
        <w:t>ervice</w:t>
      </w:r>
      <w:r w:rsidRPr="00356AA1">
        <w:rPr>
          <w:sz w:val="20"/>
          <w:lang w:eastAsia="en-GB"/>
        </w:rPr>
        <w:t xml:space="preserve"> operations and with national security clearance.</w:t>
      </w:r>
      <w:r w:rsidR="00781044">
        <w:rPr>
          <w:sz w:val="20"/>
          <w:lang w:eastAsia="en-GB"/>
        </w:rPr>
        <w:t xml:space="preserve"> </w:t>
      </w:r>
    </w:p>
    <w:p w:rsidR="00FF4737" w:rsidRPr="00403AE5" w:rsidRDefault="0060657A" w:rsidP="00403AE5">
      <w:pPr>
        <w:pStyle w:val="H4G"/>
        <w:rPr>
          <w:sz w:val="20"/>
          <w:szCs w:val="20"/>
        </w:rPr>
      </w:pPr>
      <w:r w:rsidRPr="00403AE5">
        <w:rPr>
          <w:sz w:val="20"/>
          <w:szCs w:val="20"/>
        </w:rPr>
        <w:tab/>
      </w:r>
      <w:r w:rsidR="002A66AC" w:rsidRPr="00403AE5">
        <w:rPr>
          <w:sz w:val="20"/>
          <w:szCs w:val="20"/>
        </w:rPr>
        <w:t>(d)</w:t>
      </w:r>
      <w:r w:rsidRPr="00403AE5">
        <w:rPr>
          <w:sz w:val="20"/>
          <w:szCs w:val="20"/>
        </w:rPr>
        <w:tab/>
        <w:t>Policing Board</w:t>
      </w:r>
    </w:p>
    <w:p w:rsidR="00FF4737" w:rsidRPr="00356AA1" w:rsidRDefault="0060657A">
      <w:pPr>
        <w:pStyle w:val="SingleTxtG"/>
        <w:rPr>
          <w:sz w:val="20"/>
          <w:lang w:eastAsia="en-GB"/>
        </w:rPr>
      </w:pPr>
      <w:r w:rsidRPr="00356AA1">
        <w:rPr>
          <w:sz w:val="20"/>
          <w:lang w:eastAsia="en-GB"/>
        </w:rPr>
        <w:t>9</w:t>
      </w:r>
      <w:r w:rsidR="0042434E">
        <w:rPr>
          <w:sz w:val="20"/>
          <w:lang w:eastAsia="en-GB"/>
        </w:rPr>
        <w:t>3</w:t>
      </w:r>
      <w:r w:rsidRPr="00356AA1">
        <w:rPr>
          <w:sz w:val="20"/>
          <w:lang w:eastAsia="en-GB"/>
        </w:rPr>
        <w:t>.</w:t>
      </w:r>
      <w:r w:rsidRPr="00356AA1">
        <w:rPr>
          <w:sz w:val="20"/>
          <w:lang w:eastAsia="en-GB"/>
        </w:rPr>
        <w:tab/>
        <w:t xml:space="preserve">The Policing Board, composed of </w:t>
      </w:r>
      <w:r w:rsidR="00AB6866">
        <w:rPr>
          <w:sz w:val="20"/>
          <w:lang w:eastAsia="en-GB"/>
        </w:rPr>
        <w:t>ten</w:t>
      </w:r>
      <w:r w:rsidR="00AB6866" w:rsidRPr="00356AA1">
        <w:rPr>
          <w:sz w:val="20"/>
          <w:lang w:eastAsia="en-GB"/>
        </w:rPr>
        <w:t xml:space="preserve"> </w:t>
      </w:r>
      <w:r w:rsidRPr="00356AA1">
        <w:rPr>
          <w:sz w:val="20"/>
          <w:lang w:eastAsia="en-GB"/>
        </w:rPr>
        <w:t xml:space="preserve">political and </w:t>
      </w:r>
      <w:r w:rsidR="00AB6866">
        <w:rPr>
          <w:sz w:val="20"/>
          <w:lang w:eastAsia="en-GB"/>
        </w:rPr>
        <w:t>nine</w:t>
      </w:r>
      <w:r w:rsidRPr="00356AA1">
        <w:rPr>
          <w:sz w:val="20"/>
          <w:lang w:eastAsia="en-GB"/>
        </w:rPr>
        <w:t xml:space="preserve"> independent members, is mandated to ensure </w:t>
      </w:r>
      <w:r w:rsidR="00AB6866">
        <w:rPr>
          <w:sz w:val="20"/>
          <w:lang w:eastAsia="en-GB"/>
        </w:rPr>
        <w:t xml:space="preserve">that the Police Service is </w:t>
      </w:r>
      <w:r w:rsidRPr="00356AA1">
        <w:rPr>
          <w:sz w:val="20"/>
          <w:lang w:eastAsia="en-GB"/>
        </w:rPr>
        <w:t>effective, efficient, impartial, representative and accountable</w:t>
      </w:r>
      <w:r w:rsidR="00AB6866">
        <w:rPr>
          <w:sz w:val="20"/>
          <w:lang w:eastAsia="en-GB"/>
        </w:rPr>
        <w:t xml:space="preserve">, thereby </w:t>
      </w:r>
      <w:r w:rsidRPr="00356AA1">
        <w:rPr>
          <w:sz w:val="20"/>
          <w:lang w:eastAsia="en-GB"/>
        </w:rPr>
        <w:t>secur</w:t>
      </w:r>
      <w:r w:rsidR="00AB6866">
        <w:rPr>
          <w:sz w:val="20"/>
          <w:lang w:eastAsia="en-GB"/>
        </w:rPr>
        <w:t>ing</w:t>
      </w:r>
      <w:r w:rsidRPr="00356AA1">
        <w:rPr>
          <w:sz w:val="20"/>
          <w:lang w:eastAsia="en-GB"/>
        </w:rPr>
        <w:t xml:space="preserve"> the confidence of </w:t>
      </w:r>
      <w:r w:rsidR="009B0386">
        <w:rPr>
          <w:sz w:val="20"/>
          <w:lang w:eastAsia="en-GB"/>
        </w:rPr>
        <w:t>both</w:t>
      </w:r>
      <w:r w:rsidRPr="00356AA1">
        <w:rPr>
          <w:sz w:val="20"/>
          <w:lang w:eastAsia="en-GB"/>
        </w:rPr>
        <w:t xml:space="preserve"> communit</w:t>
      </w:r>
      <w:r w:rsidR="009B0386">
        <w:rPr>
          <w:sz w:val="20"/>
          <w:lang w:eastAsia="en-GB"/>
        </w:rPr>
        <w:t>ies</w:t>
      </w:r>
      <w:r w:rsidRPr="00356AA1">
        <w:rPr>
          <w:sz w:val="20"/>
          <w:lang w:eastAsia="en-GB"/>
        </w:rPr>
        <w:t xml:space="preserve">. </w:t>
      </w:r>
    </w:p>
    <w:p w:rsidR="00FF4737" w:rsidRPr="00FF4737" w:rsidRDefault="0060657A">
      <w:pPr>
        <w:pStyle w:val="SingleTxtG"/>
        <w:rPr>
          <w:lang w:eastAsia="en-GB"/>
        </w:rPr>
      </w:pPr>
      <w:r w:rsidRPr="00356AA1">
        <w:rPr>
          <w:sz w:val="20"/>
          <w:lang w:eastAsia="en-GB"/>
        </w:rPr>
        <w:t>9</w:t>
      </w:r>
      <w:r w:rsidR="0042434E">
        <w:rPr>
          <w:sz w:val="20"/>
          <w:lang w:eastAsia="en-GB"/>
        </w:rPr>
        <w:t>4</w:t>
      </w:r>
      <w:r w:rsidRPr="00356AA1">
        <w:rPr>
          <w:sz w:val="20"/>
          <w:lang w:eastAsia="en-GB"/>
        </w:rPr>
        <w:t>.</w:t>
      </w:r>
      <w:r w:rsidRPr="00356AA1">
        <w:rPr>
          <w:sz w:val="20"/>
          <w:lang w:eastAsia="en-GB"/>
        </w:rPr>
        <w:tab/>
        <w:t xml:space="preserve">In 2003, the </w:t>
      </w:r>
      <w:r w:rsidR="00AB6866">
        <w:rPr>
          <w:sz w:val="20"/>
          <w:lang w:eastAsia="en-GB"/>
        </w:rPr>
        <w:t xml:space="preserve">Police </w:t>
      </w:r>
      <w:r w:rsidRPr="00356AA1">
        <w:rPr>
          <w:sz w:val="20"/>
          <w:lang w:eastAsia="en-GB"/>
        </w:rPr>
        <w:t>Board devised a human rights framework based on the Human Rights Act,</w:t>
      </w:r>
      <w:r w:rsidR="009B0386">
        <w:rPr>
          <w:sz w:val="20"/>
          <w:lang w:eastAsia="en-GB"/>
        </w:rPr>
        <w:t xml:space="preserve"> specifying 14 key issues to be monitored, including attention to victims (with a special section on legacy cases)</w:t>
      </w:r>
      <w:r w:rsidRPr="00356AA1">
        <w:rPr>
          <w:sz w:val="20"/>
          <w:lang w:eastAsia="en-GB"/>
        </w:rPr>
        <w:t>.</w:t>
      </w:r>
      <w:r w:rsidRPr="00FF4737">
        <w:rPr>
          <w:lang w:eastAsia="en-GB"/>
        </w:rPr>
        <w:t xml:space="preserve"> </w:t>
      </w:r>
    </w:p>
    <w:p w:rsidR="00FF4737" w:rsidRPr="00403AE5" w:rsidRDefault="0060657A" w:rsidP="00403AE5">
      <w:pPr>
        <w:pStyle w:val="H4G"/>
        <w:rPr>
          <w:sz w:val="20"/>
          <w:szCs w:val="20"/>
        </w:rPr>
      </w:pPr>
      <w:r w:rsidRPr="00403AE5">
        <w:rPr>
          <w:sz w:val="20"/>
          <w:szCs w:val="20"/>
        </w:rPr>
        <w:tab/>
      </w:r>
      <w:r w:rsidR="002A66AC" w:rsidRPr="00403AE5">
        <w:rPr>
          <w:sz w:val="20"/>
          <w:szCs w:val="20"/>
        </w:rPr>
        <w:t>(e)</w:t>
      </w:r>
      <w:r w:rsidRPr="00403AE5">
        <w:rPr>
          <w:sz w:val="20"/>
          <w:szCs w:val="20"/>
        </w:rPr>
        <w:tab/>
      </w:r>
      <w:r w:rsidR="006178F3" w:rsidRPr="00403AE5">
        <w:rPr>
          <w:sz w:val="20"/>
          <w:szCs w:val="20"/>
        </w:rPr>
        <w:t>Office of the Police Ombudsman in Northern Ireland</w:t>
      </w:r>
    </w:p>
    <w:p w:rsidR="00FF4737" w:rsidRPr="00FF4737" w:rsidRDefault="0060657A">
      <w:pPr>
        <w:pStyle w:val="SingleTxtG"/>
        <w:rPr>
          <w:lang w:eastAsia="en-GB"/>
        </w:rPr>
      </w:pPr>
      <w:r w:rsidRPr="00356AA1">
        <w:rPr>
          <w:sz w:val="20"/>
          <w:lang w:eastAsia="en-GB"/>
        </w:rPr>
        <w:t>9</w:t>
      </w:r>
      <w:r w:rsidR="0042434E">
        <w:rPr>
          <w:sz w:val="20"/>
          <w:lang w:eastAsia="en-GB"/>
        </w:rPr>
        <w:t>5</w:t>
      </w:r>
      <w:r w:rsidRPr="00356AA1">
        <w:rPr>
          <w:sz w:val="20"/>
          <w:lang w:eastAsia="en-GB"/>
        </w:rPr>
        <w:t>.</w:t>
      </w:r>
      <w:r w:rsidRPr="00356AA1">
        <w:rPr>
          <w:sz w:val="20"/>
          <w:lang w:eastAsia="en-GB"/>
        </w:rPr>
        <w:tab/>
      </w:r>
      <w:r w:rsidR="00E172F5">
        <w:rPr>
          <w:sz w:val="20"/>
          <w:lang w:eastAsia="en-GB"/>
        </w:rPr>
        <w:t>T</w:t>
      </w:r>
      <w:r w:rsidRPr="00356AA1">
        <w:rPr>
          <w:sz w:val="20"/>
          <w:lang w:eastAsia="en-GB"/>
        </w:rPr>
        <w:t xml:space="preserve">he Office of the Police Ombudsman in </w:t>
      </w:r>
      <w:r w:rsidR="00D605CD">
        <w:rPr>
          <w:sz w:val="20"/>
          <w:lang w:eastAsia="en-GB"/>
        </w:rPr>
        <w:t>Northern Ireland</w:t>
      </w:r>
      <w:r w:rsidRPr="00356AA1">
        <w:rPr>
          <w:sz w:val="20"/>
          <w:lang w:eastAsia="en-GB"/>
        </w:rPr>
        <w:t>, a system of independent, impartial and civilian oversight of policing</w:t>
      </w:r>
      <w:r w:rsidR="00E172F5">
        <w:rPr>
          <w:sz w:val="20"/>
          <w:lang w:eastAsia="en-GB"/>
        </w:rPr>
        <w:t>, was established</w:t>
      </w:r>
      <w:r w:rsidRPr="00356AA1">
        <w:rPr>
          <w:sz w:val="20"/>
          <w:lang w:eastAsia="en-GB"/>
        </w:rPr>
        <w:t xml:space="preserve"> </w:t>
      </w:r>
      <w:r w:rsidR="00E172F5">
        <w:rPr>
          <w:sz w:val="20"/>
          <w:lang w:eastAsia="en-GB"/>
        </w:rPr>
        <w:t xml:space="preserve">in </w:t>
      </w:r>
      <w:r w:rsidR="00E172F5" w:rsidRPr="0081330D">
        <w:rPr>
          <w:sz w:val="20"/>
          <w:lang w:eastAsia="en-GB"/>
        </w:rPr>
        <w:t>2000</w:t>
      </w:r>
      <w:r w:rsidRPr="00356AA1">
        <w:rPr>
          <w:sz w:val="20"/>
          <w:lang w:eastAsia="en-GB"/>
        </w:rPr>
        <w:t xml:space="preserve">. The </w:t>
      </w:r>
      <w:r w:rsidR="00E172F5">
        <w:rPr>
          <w:sz w:val="20"/>
          <w:lang w:eastAsia="en-GB"/>
        </w:rPr>
        <w:t>creation of the O</w:t>
      </w:r>
      <w:r w:rsidRPr="00356AA1">
        <w:rPr>
          <w:sz w:val="20"/>
          <w:lang w:eastAsia="en-GB"/>
        </w:rPr>
        <w:t>ffice</w:t>
      </w:r>
      <w:r w:rsidR="00E172F5">
        <w:rPr>
          <w:sz w:val="20"/>
          <w:lang w:eastAsia="en-GB"/>
        </w:rPr>
        <w:t>, which</w:t>
      </w:r>
      <w:r w:rsidRPr="00356AA1">
        <w:rPr>
          <w:sz w:val="20"/>
          <w:lang w:eastAsia="en-GB"/>
        </w:rPr>
        <w:t xml:space="preserve"> is independent from the P</w:t>
      </w:r>
      <w:r w:rsidR="00E172F5">
        <w:rPr>
          <w:sz w:val="20"/>
          <w:lang w:eastAsia="en-GB"/>
        </w:rPr>
        <w:t xml:space="preserve">olice </w:t>
      </w:r>
      <w:r w:rsidRPr="00356AA1">
        <w:rPr>
          <w:sz w:val="20"/>
          <w:lang w:eastAsia="en-GB"/>
        </w:rPr>
        <w:t>S</w:t>
      </w:r>
      <w:r w:rsidR="00E172F5">
        <w:rPr>
          <w:sz w:val="20"/>
          <w:lang w:eastAsia="en-GB"/>
        </w:rPr>
        <w:t>ervice and</w:t>
      </w:r>
      <w:r w:rsidRPr="00356AA1">
        <w:rPr>
          <w:sz w:val="20"/>
          <w:lang w:eastAsia="en-GB"/>
        </w:rPr>
        <w:t xml:space="preserve"> ha</w:t>
      </w:r>
      <w:r w:rsidR="00E172F5">
        <w:rPr>
          <w:sz w:val="20"/>
          <w:lang w:eastAsia="en-GB"/>
        </w:rPr>
        <w:t>s</w:t>
      </w:r>
      <w:r w:rsidRPr="00356AA1">
        <w:rPr>
          <w:sz w:val="20"/>
          <w:lang w:eastAsia="en-GB"/>
        </w:rPr>
        <w:t xml:space="preserve"> its own team of investigators, </w:t>
      </w:r>
      <w:r w:rsidR="00E172F5">
        <w:rPr>
          <w:sz w:val="20"/>
          <w:lang w:eastAsia="en-GB"/>
        </w:rPr>
        <w:t>ha</w:t>
      </w:r>
      <w:r w:rsidR="00B44BA5">
        <w:rPr>
          <w:sz w:val="20"/>
          <w:lang w:eastAsia="en-GB"/>
        </w:rPr>
        <w:t>s</w:t>
      </w:r>
      <w:r w:rsidR="00E172F5">
        <w:rPr>
          <w:sz w:val="20"/>
          <w:lang w:eastAsia="en-GB"/>
        </w:rPr>
        <w:t xml:space="preserve"> made </w:t>
      </w:r>
      <w:r w:rsidRPr="00356AA1">
        <w:rPr>
          <w:sz w:val="20"/>
          <w:lang w:eastAsia="en-GB"/>
        </w:rPr>
        <w:t xml:space="preserve">an important </w:t>
      </w:r>
      <w:r w:rsidR="00E172F5">
        <w:rPr>
          <w:sz w:val="20"/>
          <w:lang w:eastAsia="en-GB"/>
        </w:rPr>
        <w:t xml:space="preserve">contribution in </w:t>
      </w:r>
      <w:r w:rsidRPr="00356AA1">
        <w:rPr>
          <w:sz w:val="20"/>
          <w:lang w:eastAsia="en-GB"/>
        </w:rPr>
        <w:t>gain</w:t>
      </w:r>
      <w:r w:rsidR="00E172F5">
        <w:rPr>
          <w:sz w:val="20"/>
          <w:lang w:eastAsia="en-GB"/>
        </w:rPr>
        <w:t>ing</w:t>
      </w:r>
      <w:r w:rsidRPr="00356AA1">
        <w:rPr>
          <w:sz w:val="20"/>
          <w:lang w:eastAsia="en-GB"/>
        </w:rPr>
        <w:t xml:space="preserve"> public confidence in both the police and the complaints system.</w:t>
      </w:r>
      <w:r w:rsidR="00B44BA5">
        <w:rPr>
          <w:sz w:val="20"/>
          <w:lang w:eastAsia="en-GB"/>
        </w:rPr>
        <w:t xml:space="preserve"> The cuts </w:t>
      </w:r>
      <w:r w:rsidR="004C28A0">
        <w:rPr>
          <w:sz w:val="20"/>
          <w:lang w:eastAsia="en-GB"/>
        </w:rPr>
        <w:t>to the</w:t>
      </w:r>
      <w:r w:rsidR="00B44BA5">
        <w:rPr>
          <w:sz w:val="20"/>
          <w:lang w:eastAsia="en-GB"/>
        </w:rPr>
        <w:t xml:space="preserve"> funding to the Office </w:t>
      </w:r>
      <w:r w:rsidR="004C28A0">
        <w:rPr>
          <w:sz w:val="20"/>
          <w:lang w:eastAsia="en-GB"/>
        </w:rPr>
        <w:t>introduced in</w:t>
      </w:r>
      <w:r w:rsidR="00B44BA5">
        <w:rPr>
          <w:sz w:val="20"/>
          <w:lang w:eastAsia="en-GB"/>
        </w:rPr>
        <w:t xml:space="preserve"> 2014 have, however, undermined the </w:t>
      </w:r>
      <w:r w:rsidR="004C28A0">
        <w:rPr>
          <w:sz w:val="20"/>
          <w:lang w:eastAsia="en-GB"/>
        </w:rPr>
        <w:t>e</w:t>
      </w:r>
      <w:r w:rsidRPr="00356AA1">
        <w:rPr>
          <w:sz w:val="20"/>
          <w:lang w:eastAsia="en-GB"/>
        </w:rPr>
        <w:t>fforts to re</w:t>
      </w:r>
      <w:r w:rsidR="004C28A0">
        <w:rPr>
          <w:sz w:val="20"/>
          <w:lang w:eastAsia="en-GB"/>
        </w:rPr>
        <w:t xml:space="preserve">store </w:t>
      </w:r>
      <w:r w:rsidRPr="00356AA1">
        <w:rPr>
          <w:sz w:val="20"/>
          <w:lang w:eastAsia="en-GB"/>
        </w:rPr>
        <w:t>the reputation the Office had gained during its first seven years of existence.</w:t>
      </w:r>
      <w:r w:rsidR="00781044">
        <w:rPr>
          <w:lang w:eastAsia="en-GB"/>
        </w:rPr>
        <w:t xml:space="preserve"> </w:t>
      </w:r>
    </w:p>
    <w:p w:rsidR="00FF4737" w:rsidRPr="00FF4737" w:rsidRDefault="00D25541" w:rsidP="00356AA1">
      <w:pPr>
        <w:pStyle w:val="H1G"/>
        <w:spacing w:line="240" w:lineRule="atLeast"/>
      </w:pPr>
      <w:r w:rsidRPr="00FF4737">
        <w:tab/>
        <w:t>C.</w:t>
      </w:r>
      <w:r w:rsidRPr="00FF4737">
        <w:tab/>
        <w:t>Release and integration of paramilitary prisoners</w:t>
      </w:r>
    </w:p>
    <w:p w:rsidR="00FF4737" w:rsidRPr="00356AA1" w:rsidRDefault="00E228DD">
      <w:pPr>
        <w:pStyle w:val="SingleTxtG"/>
        <w:rPr>
          <w:sz w:val="20"/>
          <w:lang w:eastAsia="en-GB"/>
        </w:rPr>
      </w:pPr>
      <w:r w:rsidRPr="00356AA1">
        <w:rPr>
          <w:sz w:val="20"/>
          <w:lang w:eastAsia="en-GB"/>
        </w:rPr>
        <w:t>9</w:t>
      </w:r>
      <w:r w:rsidR="0042434E">
        <w:rPr>
          <w:sz w:val="20"/>
          <w:lang w:eastAsia="en-GB"/>
        </w:rPr>
        <w:t>6</w:t>
      </w:r>
      <w:r w:rsidRPr="00356AA1">
        <w:rPr>
          <w:sz w:val="20"/>
          <w:lang w:eastAsia="en-GB"/>
        </w:rPr>
        <w:t>.</w:t>
      </w:r>
      <w:r w:rsidRPr="00356AA1">
        <w:rPr>
          <w:sz w:val="20"/>
          <w:lang w:eastAsia="en-GB"/>
        </w:rPr>
        <w:tab/>
        <w:t xml:space="preserve">The </w:t>
      </w:r>
      <w:r w:rsidR="004C28A0">
        <w:rPr>
          <w:sz w:val="20"/>
          <w:lang w:eastAsia="en-GB"/>
        </w:rPr>
        <w:t>Good Friday</w:t>
      </w:r>
      <w:r w:rsidR="00A26103">
        <w:rPr>
          <w:sz w:val="20"/>
          <w:lang w:eastAsia="en-GB"/>
        </w:rPr>
        <w:t xml:space="preserve"> </w:t>
      </w:r>
      <w:r w:rsidRPr="00356AA1">
        <w:rPr>
          <w:sz w:val="20"/>
          <w:lang w:eastAsia="en-GB"/>
        </w:rPr>
        <w:t xml:space="preserve">Agreement recognized the importance of reintegrating released political prisoners into the community by supporting employment, retraining and further education. </w:t>
      </w:r>
    </w:p>
    <w:p w:rsidR="00FF4737" w:rsidRPr="00356AA1" w:rsidRDefault="0042434E">
      <w:pPr>
        <w:pStyle w:val="SingleTxtG"/>
        <w:rPr>
          <w:sz w:val="20"/>
          <w:lang w:eastAsia="en-GB"/>
        </w:rPr>
      </w:pPr>
      <w:r>
        <w:rPr>
          <w:sz w:val="20"/>
          <w:lang w:eastAsia="en-GB"/>
        </w:rPr>
        <w:t>97</w:t>
      </w:r>
      <w:r w:rsidR="00E228DD" w:rsidRPr="00356AA1">
        <w:rPr>
          <w:sz w:val="20"/>
          <w:lang w:eastAsia="en-GB"/>
        </w:rPr>
        <w:t>.</w:t>
      </w:r>
      <w:r w:rsidR="00E228DD" w:rsidRPr="00356AA1">
        <w:rPr>
          <w:sz w:val="20"/>
          <w:lang w:eastAsia="en-GB"/>
        </w:rPr>
        <w:tab/>
      </w:r>
      <w:r w:rsidR="00131A2D">
        <w:rPr>
          <w:sz w:val="20"/>
          <w:lang w:eastAsia="en-GB"/>
        </w:rPr>
        <w:t>Even though</w:t>
      </w:r>
      <w:r w:rsidR="00131A2D" w:rsidRPr="00356AA1">
        <w:rPr>
          <w:sz w:val="20"/>
          <w:lang w:eastAsia="en-GB"/>
        </w:rPr>
        <w:t xml:space="preserve"> </w:t>
      </w:r>
      <w:r w:rsidR="00E228DD" w:rsidRPr="00356AA1">
        <w:rPr>
          <w:sz w:val="20"/>
          <w:lang w:eastAsia="en-GB"/>
        </w:rPr>
        <w:t xml:space="preserve">the release </w:t>
      </w:r>
      <w:r w:rsidR="00131A2D">
        <w:rPr>
          <w:sz w:val="20"/>
          <w:lang w:eastAsia="en-GB"/>
        </w:rPr>
        <w:t>of paramilitary prisoners initially</w:t>
      </w:r>
      <w:r w:rsidR="00E228DD" w:rsidRPr="00356AA1">
        <w:rPr>
          <w:sz w:val="20"/>
          <w:lang w:eastAsia="en-GB"/>
        </w:rPr>
        <w:t xml:space="preserve"> </w:t>
      </w:r>
      <w:r w:rsidR="00131A2D">
        <w:rPr>
          <w:sz w:val="20"/>
          <w:lang w:eastAsia="en-GB"/>
        </w:rPr>
        <w:t>elicited</w:t>
      </w:r>
      <w:r w:rsidR="00E228DD" w:rsidRPr="00356AA1">
        <w:rPr>
          <w:sz w:val="20"/>
          <w:lang w:eastAsia="en-GB"/>
        </w:rPr>
        <w:t xml:space="preserve"> public outrage, a number of ex-prisoners, mainly through</w:t>
      </w:r>
      <w:r w:rsidR="00131A2D">
        <w:rPr>
          <w:sz w:val="20"/>
          <w:lang w:eastAsia="en-GB"/>
        </w:rPr>
        <w:t xml:space="preserve"> </w:t>
      </w:r>
      <w:r w:rsidR="00E228DD" w:rsidRPr="00356AA1">
        <w:rPr>
          <w:sz w:val="20"/>
          <w:lang w:eastAsia="en-GB"/>
        </w:rPr>
        <w:t>organi</w:t>
      </w:r>
      <w:r w:rsidR="00131A2D">
        <w:rPr>
          <w:sz w:val="20"/>
          <w:lang w:eastAsia="en-GB"/>
        </w:rPr>
        <w:t>z</w:t>
      </w:r>
      <w:r w:rsidR="00E228DD" w:rsidRPr="00356AA1">
        <w:rPr>
          <w:sz w:val="20"/>
          <w:lang w:eastAsia="en-GB"/>
        </w:rPr>
        <w:t xml:space="preserve">ations they </w:t>
      </w:r>
      <w:r w:rsidR="00131A2D">
        <w:rPr>
          <w:sz w:val="20"/>
          <w:lang w:eastAsia="en-GB"/>
        </w:rPr>
        <w:t xml:space="preserve">have </w:t>
      </w:r>
      <w:r w:rsidR="00E228DD" w:rsidRPr="00356AA1">
        <w:rPr>
          <w:sz w:val="20"/>
          <w:lang w:eastAsia="en-GB"/>
        </w:rPr>
        <w:t xml:space="preserve">founded, </w:t>
      </w:r>
      <w:r w:rsidR="00131A2D">
        <w:rPr>
          <w:sz w:val="20"/>
          <w:lang w:eastAsia="en-GB"/>
        </w:rPr>
        <w:t xml:space="preserve">have </w:t>
      </w:r>
      <w:r w:rsidR="00E228DD" w:rsidRPr="00356AA1">
        <w:rPr>
          <w:sz w:val="20"/>
          <w:lang w:eastAsia="en-GB"/>
        </w:rPr>
        <w:t>contributed significantly to wider peacebuilding in N</w:t>
      </w:r>
      <w:r w:rsidR="00131A2D">
        <w:rPr>
          <w:sz w:val="20"/>
          <w:lang w:eastAsia="en-GB"/>
        </w:rPr>
        <w:t xml:space="preserve">orthern </w:t>
      </w:r>
      <w:r w:rsidR="00E228DD" w:rsidRPr="00356AA1">
        <w:rPr>
          <w:sz w:val="20"/>
          <w:lang w:eastAsia="en-GB"/>
        </w:rPr>
        <w:t>I</w:t>
      </w:r>
      <w:r w:rsidR="00131A2D">
        <w:rPr>
          <w:sz w:val="20"/>
          <w:lang w:eastAsia="en-GB"/>
        </w:rPr>
        <w:t>reland</w:t>
      </w:r>
      <w:r w:rsidR="00E228DD" w:rsidRPr="00356AA1">
        <w:rPr>
          <w:sz w:val="20"/>
          <w:lang w:eastAsia="en-GB"/>
        </w:rPr>
        <w:t xml:space="preserve">. As efforts to reduce violence can carry greater weight and appear more credible when they are led by former combatants, their active participation has reportedly </w:t>
      </w:r>
      <w:r w:rsidR="00131A2D">
        <w:rPr>
          <w:sz w:val="20"/>
          <w:lang w:eastAsia="en-GB"/>
        </w:rPr>
        <w:t xml:space="preserve">had a </w:t>
      </w:r>
      <w:r w:rsidR="00E228DD" w:rsidRPr="00356AA1">
        <w:rPr>
          <w:sz w:val="20"/>
          <w:lang w:eastAsia="en-GB"/>
        </w:rPr>
        <w:t xml:space="preserve">positive impact </w:t>
      </w:r>
      <w:r w:rsidR="00131A2D">
        <w:rPr>
          <w:sz w:val="20"/>
          <w:lang w:eastAsia="en-GB"/>
        </w:rPr>
        <w:t xml:space="preserve">on </w:t>
      </w:r>
      <w:r w:rsidR="00E228DD" w:rsidRPr="00356AA1">
        <w:rPr>
          <w:sz w:val="20"/>
          <w:lang w:eastAsia="en-GB"/>
        </w:rPr>
        <w:t>the will</w:t>
      </w:r>
      <w:r w:rsidR="00131A2D">
        <w:rPr>
          <w:sz w:val="20"/>
          <w:lang w:eastAsia="en-GB"/>
        </w:rPr>
        <w:t>ingness</w:t>
      </w:r>
      <w:r w:rsidR="00E228DD" w:rsidRPr="00356AA1">
        <w:rPr>
          <w:sz w:val="20"/>
          <w:lang w:eastAsia="en-GB"/>
        </w:rPr>
        <w:t xml:space="preserve"> of society, </w:t>
      </w:r>
      <w:r w:rsidR="00131A2D">
        <w:rPr>
          <w:sz w:val="20"/>
          <w:lang w:eastAsia="en-GB"/>
        </w:rPr>
        <w:t xml:space="preserve">and </w:t>
      </w:r>
      <w:r w:rsidR="00E228DD" w:rsidRPr="00356AA1">
        <w:rPr>
          <w:sz w:val="20"/>
          <w:lang w:eastAsia="en-GB"/>
        </w:rPr>
        <w:t xml:space="preserve">particularly </w:t>
      </w:r>
      <w:r w:rsidR="00131A2D">
        <w:rPr>
          <w:sz w:val="20"/>
          <w:lang w:eastAsia="en-GB"/>
        </w:rPr>
        <w:t>of young people</w:t>
      </w:r>
      <w:r w:rsidR="00E228DD" w:rsidRPr="00356AA1">
        <w:rPr>
          <w:sz w:val="20"/>
          <w:lang w:eastAsia="en-GB"/>
        </w:rPr>
        <w:t>, to resolve conflicts in a non-violent manner</w:t>
      </w:r>
      <w:r w:rsidR="00131A2D">
        <w:rPr>
          <w:sz w:val="20"/>
          <w:lang w:eastAsia="en-GB"/>
        </w:rPr>
        <w:t>, thus making</w:t>
      </w:r>
      <w:r w:rsidR="00E228DD" w:rsidRPr="00356AA1">
        <w:rPr>
          <w:sz w:val="20"/>
          <w:lang w:eastAsia="en-GB"/>
        </w:rPr>
        <w:t xml:space="preserve"> a crucial contribution to non-recurrence.</w:t>
      </w:r>
      <w:r w:rsidR="00781044">
        <w:rPr>
          <w:sz w:val="20"/>
          <w:lang w:eastAsia="en-GB"/>
        </w:rPr>
        <w:t xml:space="preserve"> </w:t>
      </w:r>
    </w:p>
    <w:p w:rsidR="00FF4737" w:rsidRPr="00356AA1" w:rsidRDefault="0042434E">
      <w:pPr>
        <w:pStyle w:val="SingleTxtG"/>
        <w:rPr>
          <w:sz w:val="20"/>
          <w:lang w:eastAsia="en-GB"/>
        </w:rPr>
      </w:pPr>
      <w:r>
        <w:rPr>
          <w:sz w:val="20"/>
          <w:lang w:eastAsia="en-GB"/>
        </w:rPr>
        <w:t>98</w:t>
      </w:r>
      <w:r w:rsidR="00E228DD" w:rsidRPr="00356AA1">
        <w:rPr>
          <w:sz w:val="20"/>
          <w:lang w:eastAsia="en-GB"/>
        </w:rPr>
        <w:t>.</w:t>
      </w:r>
      <w:r w:rsidR="00E228DD" w:rsidRPr="00356AA1">
        <w:rPr>
          <w:sz w:val="20"/>
          <w:lang w:eastAsia="en-GB"/>
        </w:rPr>
        <w:tab/>
        <w:t xml:space="preserve">Legislative and other discriminatory barriers prevent former prisoners </w:t>
      </w:r>
      <w:r w:rsidR="00131A2D">
        <w:rPr>
          <w:sz w:val="20"/>
          <w:lang w:eastAsia="en-GB"/>
        </w:rPr>
        <w:t>from</w:t>
      </w:r>
      <w:r w:rsidR="00131A2D" w:rsidRPr="00356AA1">
        <w:rPr>
          <w:sz w:val="20"/>
          <w:lang w:eastAsia="en-GB"/>
        </w:rPr>
        <w:t xml:space="preserve"> </w:t>
      </w:r>
      <w:r w:rsidR="00131A2D">
        <w:rPr>
          <w:sz w:val="20"/>
          <w:lang w:eastAsia="en-GB"/>
        </w:rPr>
        <w:t xml:space="preserve">having their </w:t>
      </w:r>
      <w:r w:rsidR="00E228DD" w:rsidRPr="00356AA1">
        <w:rPr>
          <w:sz w:val="20"/>
          <w:lang w:eastAsia="en-GB"/>
        </w:rPr>
        <w:t>full citizenship</w:t>
      </w:r>
      <w:r w:rsidR="00131A2D">
        <w:rPr>
          <w:sz w:val="20"/>
          <w:lang w:eastAsia="en-GB"/>
        </w:rPr>
        <w:t xml:space="preserve"> restored</w:t>
      </w:r>
      <w:r w:rsidR="00E228DD" w:rsidRPr="00356AA1">
        <w:rPr>
          <w:sz w:val="20"/>
          <w:lang w:eastAsia="en-GB"/>
        </w:rPr>
        <w:t xml:space="preserve"> (</w:t>
      </w:r>
      <w:r w:rsidR="00131A2D">
        <w:rPr>
          <w:sz w:val="20"/>
          <w:lang w:eastAsia="en-GB"/>
        </w:rPr>
        <w:t>such as</w:t>
      </w:r>
      <w:r w:rsidR="00E228DD" w:rsidRPr="00356AA1">
        <w:rPr>
          <w:sz w:val="20"/>
          <w:lang w:eastAsia="en-GB"/>
        </w:rPr>
        <w:t xml:space="preserve"> </w:t>
      </w:r>
      <w:r w:rsidR="00131A2D">
        <w:rPr>
          <w:sz w:val="20"/>
          <w:lang w:eastAsia="en-GB"/>
        </w:rPr>
        <w:t xml:space="preserve">access to </w:t>
      </w:r>
      <w:r w:rsidR="00E228DD" w:rsidRPr="00356AA1">
        <w:rPr>
          <w:sz w:val="20"/>
          <w:lang w:eastAsia="en-GB"/>
        </w:rPr>
        <w:t>employment opportunities</w:t>
      </w:r>
      <w:r w:rsidR="00131A2D">
        <w:rPr>
          <w:sz w:val="20"/>
          <w:lang w:eastAsia="en-GB"/>
        </w:rPr>
        <w:t>,</w:t>
      </w:r>
      <w:r w:rsidR="00E228DD" w:rsidRPr="00356AA1">
        <w:rPr>
          <w:sz w:val="20"/>
          <w:lang w:eastAsia="en-GB"/>
        </w:rPr>
        <w:t xml:space="preserve"> and restrictions on pensions and </w:t>
      </w:r>
      <w:r w:rsidR="00131A2D">
        <w:rPr>
          <w:sz w:val="20"/>
          <w:lang w:eastAsia="en-GB"/>
        </w:rPr>
        <w:t xml:space="preserve">eligibility for </w:t>
      </w:r>
      <w:r w:rsidR="00E228DD" w:rsidRPr="00356AA1">
        <w:rPr>
          <w:sz w:val="20"/>
          <w:lang w:eastAsia="en-GB"/>
        </w:rPr>
        <w:t xml:space="preserve">home insurance </w:t>
      </w:r>
      <w:r w:rsidR="00131A2D">
        <w:rPr>
          <w:sz w:val="20"/>
          <w:lang w:eastAsia="en-GB"/>
        </w:rPr>
        <w:t>or</w:t>
      </w:r>
      <w:r w:rsidR="00E228DD" w:rsidRPr="00356AA1">
        <w:rPr>
          <w:sz w:val="20"/>
          <w:lang w:eastAsia="en-GB"/>
        </w:rPr>
        <w:t xml:space="preserve"> bank loans). Moreover, some of these</w:t>
      </w:r>
      <w:r w:rsidR="00131A2D">
        <w:rPr>
          <w:sz w:val="20"/>
          <w:lang w:eastAsia="en-GB"/>
        </w:rPr>
        <w:t xml:space="preserve"> </w:t>
      </w:r>
      <w:r w:rsidR="00131A2D">
        <w:rPr>
          <w:sz w:val="20"/>
          <w:lang w:eastAsia="en-GB"/>
        </w:rPr>
        <w:lastRenderedPageBreak/>
        <w:t>barriers have an</w:t>
      </w:r>
      <w:r w:rsidR="00E228DD" w:rsidRPr="00356AA1">
        <w:rPr>
          <w:sz w:val="20"/>
          <w:lang w:eastAsia="en-GB"/>
        </w:rPr>
        <w:t xml:space="preserve"> </w:t>
      </w:r>
      <w:r w:rsidR="00131A2D">
        <w:rPr>
          <w:sz w:val="20"/>
          <w:lang w:eastAsia="en-GB"/>
        </w:rPr>
        <w:t>e</w:t>
      </w:r>
      <w:r w:rsidR="00E228DD" w:rsidRPr="00356AA1">
        <w:rPr>
          <w:sz w:val="20"/>
          <w:lang w:eastAsia="en-GB"/>
        </w:rPr>
        <w:t xml:space="preserve">ffect </w:t>
      </w:r>
      <w:r w:rsidR="00131A2D">
        <w:rPr>
          <w:sz w:val="20"/>
          <w:lang w:eastAsia="en-GB"/>
        </w:rPr>
        <w:t xml:space="preserve">on </w:t>
      </w:r>
      <w:r w:rsidR="00E228DD" w:rsidRPr="00356AA1">
        <w:rPr>
          <w:sz w:val="20"/>
          <w:lang w:eastAsia="en-GB"/>
        </w:rPr>
        <w:t xml:space="preserve">children and grandchildren when family background checks are </w:t>
      </w:r>
      <w:r w:rsidR="00131A2D">
        <w:rPr>
          <w:sz w:val="20"/>
          <w:lang w:eastAsia="en-GB"/>
        </w:rPr>
        <w:t>made</w:t>
      </w:r>
      <w:r w:rsidR="00E228DD" w:rsidRPr="00356AA1">
        <w:rPr>
          <w:sz w:val="20"/>
          <w:lang w:eastAsia="en-GB"/>
        </w:rPr>
        <w:t>.</w:t>
      </w:r>
      <w:r w:rsidR="00781044">
        <w:rPr>
          <w:sz w:val="20"/>
          <w:lang w:eastAsia="en-GB"/>
        </w:rPr>
        <w:t xml:space="preserve"> </w:t>
      </w:r>
    </w:p>
    <w:p w:rsidR="00FF4737" w:rsidRPr="00FF4737" w:rsidRDefault="0042434E">
      <w:pPr>
        <w:pStyle w:val="SingleTxtG"/>
        <w:rPr>
          <w:lang w:eastAsia="en-GB"/>
        </w:rPr>
      </w:pPr>
      <w:r>
        <w:rPr>
          <w:sz w:val="20"/>
          <w:lang w:eastAsia="en-GB"/>
        </w:rPr>
        <w:t>99</w:t>
      </w:r>
      <w:r w:rsidR="00E228DD" w:rsidRPr="00356AA1">
        <w:rPr>
          <w:sz w:val="20"/>
          <w:lang w:eastAsia="en-GB"/>
        </w:rPr>
        <w:t>.</w:t>
      </w:r>
      <w:r w:rsidR="00E228DD" w:rsidRPr="00356AA1">
        <w:rPr>
          <w:sz w:val="20"/>
          <w:lang w:eastAsia="en-GB"/>
        </w:rPr>
        <w:tab/>
      </w:r>
      <w:r w:rsidR="000719F9">
        <w:rPr>
          <w:sz w:val="20"/>
          <w:lang w:eastAsia="en-GB"/>
        </w:rPr>
        <w:t xml:space="preserve">It was decided </w:t>
      </w:r>
      <w:r w:rsidR="006F031C">
        <w:rPr>
          <w:sz w:val="20"/>
          <w:lang w:eastAsia="en-GB"/>
        </w:rPr>
        <w:t xml:space="preserve">that </w:t>
      </w:r>
      <w:r w:rsidR="00E228DD" w:rsidRPr="00356AA1">
        <w:rPr>
          <w:sz w:val="20"/>
          <w:lang w:eastAsia="en-GB"/>
        </w:rPr>
        <w:t xml:space="preserve">a </w:t>
      </w:r>
      <w:r w:rsidR="000719F9">
        <w:rPr>
          <w:sz w:val="20"/>
          <w:lang w:eastAsia="en-GB"/>
        </w:rPr>
        <w:t>disarmament, demobilization and reintegration</w:t>
      </w:r>
      <w:r w:rsidR="00E228DD" w:rsidRPr="00356AA1">
        <w:rPr>
          <w:sz w:val="20"/>
          <w:lang w:eastAsia="en-GB"/>
        </w:rPr>
        <w:t xml:space="preserve"> program</w:t>
      </w:r>
      <w:r w:rsidR="00131A2D">
        <w:rPr>
          <w:sz w:val="20"/>
          <w:lang w:eastAsia="en-GB"/>
        </w:rPr>
        <w:t>me</w:t>
      </w:r>
      <w:r w:rsidR="000719F9" w:rsidRPr="000719F9">
        <w:rPr>
          <w:sz w:val="20"/>
          <w:lang w:eastAsia="en-GB"/>
        </w:rPr>
        <w:t xml:space="preserve"> </w:t>
      </w:r>
      <w:r w:rsidR="000719F9">
        <w:rPr>
          <w:sz w:val="20"/>
          <w:lang w:eastAsia="en-GB"/>
        </w:rPr>
        <w:t xml:space="preserve">was not required </w:t>
      </w:r>
      <w:r w:rsidR="000719F9" w:rsidRPr="00853C56">
        <w:rPr>
          <w:sz w:val="20"/>
          <w:lang w:eastAsia="en-GB"/>
        </w:rPr>
        <w:t xml:space="preserve">in </w:t>
      </w:r>
      <w:r w:rsidR="000719F9" w:rsidRPr="00853C56">
        <w:rPr>
          <w:sz w:val="20"/>
        </w:rPr>
        <w:t>Northern Ireland</w:t>
      </w:r>
      <w:r w:rsidR="00E228DD" w:rsidRPr="00356AA1">
        <w:rPr>
          <w:sz w:val="20"/>
          <w:lang w:eastAsia="en-GB"/>
        </w:rPr>
        <w:t xml:space="preserve">. </w:t>
      </w:r>
      <w:r w:rsidR="000719F9">
        <w:rPr>
          <w:sz w:val="20"/>
          <w:lang w:eastAsia="en-GB"/>
        </w:rPr>
        <w:t>A</w:t>
      </w:r>
      <w:r w:rsidR="00E228DD" w:rsidRPr="00356AA1">
        <w:rPr>
          <w:sz w:val="20"/>
          <w:lang w:eastAsia="en-GB"/>
        </w:rPr>
        <w:t xml:space="preserve">s </w:t>
      </w:r>
      <w:r w:rsidR="000719F9">
        <w:rPr>
          <w:sz w:val="20"/>
          <w:lang w:eastAsia="en-GB"/>
        </w:rPr>
        <w:t xml:space="preserve">a recent </w:t>
      </w:r>
      <w:r w:rsidR="00E228DD" w:rsidRPr="00356AA1">
        <w:rPr>
          <w:sz w:val="20"/>
          <w:lang w:eastAsia="en-GB"/>
        </w:rPr>
        <w:t xml:space="preserve">report explains, </w:t>
      </w:r>
      <w:r w:rsidR="000719F9">
        <w:rPr>
          <w:sz w:val="20"/>
          <w:lang w:eastAsia="en-GB"/>
        </w:rPr>
        <w:t xml:space="preserve">however, </w:t>
      </w:r>
      <w:r w:rsidR="00E228DD" w:rsidRPr="00356AA1">
        <w:rPr>
          <w:sz w:val="20"/>
          <w:lang w:eastAsia="en-GB"/>
        </w:rPr>
        <w:t xml:space="preserve">there are very good </w:t>
      </w:r>
      <w:r w:rsidR="000719F9" w:rsidRPr="004F0D03">
        <w:rPr>
          <w:sz w:val="20"/>
          <w:lang w:eastAsia="en-GB"/>
        </w:rPr>
        <w:t xml:space="preserve">reasons </w:t>
      </w:r>
      <w:r w:rsidR="000719F9">
        <w:rPr>
          <w:sz w:val="20"/>
          <w:lang w:eastAsia="en-GB"/>
        </w:rPr>
        <w:t xml:space="preserve">of </w:t>
      </w:r>
      <w:r w:rsidR="00E228DD" w:rsidRPr="00356AA1">
        <w:rPr>
          <w:sz w:val="20"/>
          <w:lang w:eastAsia="en-GB"/>
        </w:rPr>
        <w:t xml:space="preserve">public interest </w:t>
      </w:r>
      <w:r w:rsidR="000719F9">
        <w:rPr>
          <w:sz w:val="20"/>
          <w:lang w:eastAsia="en-GB"/>
        </w:rPr>
        <w:t>for</w:t>
      </w:r>
      <w:r w:rsidR="00E228DD" w:rsidRPr="00356AA1">
        <w:rPr>
          <w:sz w:val="20"/>
          <w:lang w:eastAsia="en-GB"/>
        </w:rPr>
        <w:t xml:space="preserve"> removing </w:t>
      </w:r>
      <w:r w:rsidR="000719F9">
        <w:rPr>
          <w:sz w:val="20"/>
          <w:lang w:eastAsia="en-GB"/>
        </w:rPr>
        <w:t xml:space="preserve">the </w:t>
      </w:r>
      <w:r w:rsidR="00E228DD" w:rsidRPr="00356AA1">
        <w:rPr>
          <w:sz w:val="20"/>
          <w:lang w:eastAsia="en-GB"/>
        </w:rPr>
        <w:t xml:space="preserve">obstacles </w:t>
      </w:r>
      <w:r w:rsidR="000719F9">
        <w:rPr>
          <w:sz w:val="20"/>
          <w:lang w:eastAsia="en-GB"/>
        </w:rPr>
        <w:t>that</w:t>
      </w:r>
      <w:r w:rsidR="00E228DD" w:rsidRPr="00356AA1">
        <w:rPr>
          <w:sz w:val="20"/>
          <w:lang w:eastAsia="en-GB"/>
        </w:rPr>
        <w:t xml:space="preserve"> former prisoners and their families</w:t>
      </w:r>
      <w:r w:rsidR="000719F9">
        <w:rPr>
          <w:sz w:val="20"/>
          <w:lang w:eastAsia="en-GB"/>
        </w:rPr>
        <w:t xml:space="preserve"> still face</w:t>
      </w:r>
      <w:r w:rsidR="00E228DD" w:rsidRPr="00356AA1">
        <w:rPr>
          <w:sz w:val="20"/>
          <w:lang w:eastAsia="en-GB"/>
        </w:rPr>
        <w:t xml:space="preserve">, and </w:t>
      </w:r>
      <w:r w:rsidR="000719F9">
        <w:rPr>
          <w:sz w:val="20"/>
          <w:lang w:eastAsia="en-GB"/>
        </w:rPr>
        <w:t xml:space="preserve">for </w:t>
      </w:r>
      <w:r w:rsidR="00E228DD" w:rsidRPr="00356AA1">
        <w:rPr>
          <w:sz w:val="20"/>
          <w:lang w:eastAsia="en-GB"/>
        </w:rPr>
        <w:t>continu</w:t>
      </w:r>
      <w:r w:rsidR="000719F9">
        <w:rPr>
          <w:sz w:val="20"/>
          <w:lang w:eastAsia="en-GB"/>
        </w:rPr>
        <w:t>ing</w:t>
      </w:r>
      <w:r w:rsidR="00E228DD" w:rsidRPr="00356AA1">
        <w:rPr>
          <w:sz w:val="20"/>
          <w:lang w:eastAsia="en-GB"/>
        </w:rPr>
        <w:t xml:space="preserve"> and improv</w:t>
      </w:r>
      <w:r w:rsidR="000719F9">
        <w:rPr>
          <w:sz w:val="20"/>
          <w:lang w:eastAsia="en-GB"/>
        </w:rPr>
        <w:t>ing</w:t>
      </w:r>
      <w:r w:rsidR="00E228DD" w:rsidRPr="00356AA1">
        <w:rPr>
          <w:sz w:val="20"/>
          <w:lang w:eastAsia="en-GB"/>
        </w:rPr>
        <w:t xml:space="preserve"> support </w:t>
      </w:r>
      <w:r w:rsidR="000719F9">
        <w:rPr>
          <w:sz w:val="20"/>
          <w:lang w:eastAsia="en-GB"/>
        </w:rPr>
        <w:t xml:space="preserve">for </w:t>
      </w:r>
      <w:r w:rsidR="00E228DD" w:rsidRPr="00356AA1">
        <w:rPr>
          <w:sz w:val="20"/>
          <w:lang w:eastAsia="en-GB"/>
        </w:rPr>
        <w:t>them and their communities.</w:t>
      </w:r>
      <w:r w:rsidR="00E228DD" w:rsidRPr="00FF4737">
        <w:rPr>
          <w:rStyle w:val="FootnoteReference"/>
          <w:lang w:eastAsia="en-GB"/>
        </w:rPr>
        <w:footnoteReference w:id="29"/>
      </w:r>
    </w:p>
    <w:p w:rsidR="00FF4737" w:rsidRPr="00FF4737" w:rsidRDefault="002256ED" w:rsidP="00356AA1">
      <w:pPr>
        <w:pStyle w:val="H1G"/>
        <w:spacing w:line="240" w:lineRule="atLeast"/>
        <w:rPr>
          <w:lang w:eastAsia="en-GB"/>
        </w:rPr>
      </w:pPr>
      <w:r w:rsidRPr="00FF4737">
        <w:rPr>
          <w:lang w:eastAsia="en-GB"/>
        </w:rPr>
        <w:tab/>
        <w:t>D.</w:t>
      </w:r>
      <w:r w:rsidRPr="00FF4737">
        <w:rPr>
          <w:lang w:eastAsia="en-GB"/>
        </w:rPr>
        <w:tab/>
        <w:t xml:space="preserve">Bill of </w:t>
      </w:r>
      <w:r w:rsidR="007950F8">
        <w:rPr>
          <w:lang w:eastAsia="en-GB"/>
        </w:rPr>
        <w:t>r</w:t>
      </w:r>
      <w:r w:rsidRPr="00FF4737">
        <w:rPr>
          <w:lang w:eastAsia="en-GB"/>
        </w:rPr>
        <w:t>ights</w:t>
      </w:r>
    </w:p>
    <w:p w:rsidR="00FF4737" w:rsidRPr="00356AA1" w:rsidRDefault="00F55869">
      <w:pPr>
        <w:pStyle w:val="SingleTxtG"/>
        <w:rPr>
          <w:sz w:val="20"/>
          <w:shd w:val="clear" w:color="auto" w:fill="FFFFFF"/>
        </w:rPr>
      </w:pPr>
      <w:r w:rsidRPr="00356AA1">
        <w:rPr>
          <w:sz w:val="20"/>
          <w:szCs w:val="20"/>
          <w:shd w:val="clear" w:color="auto" w:fill="FFFFFF"/>
        </w:rPr>
        <w:t>10</w:t>
      </w:r>
      <w:r w:rsidR="0042434E">
        <w:rPr>
          <w:sz w:val="20"/>
          <w:szCs w:val="20"/>
          <w:shd w:val="clear" w:color="auto" w:fill="FFFFFF"/>
        </w:rPr>
        <w:t>0</w:t>
      </w:r>
      <w:r w:rsidRPr="00356AA1">
        <w:rPr>
          <w:sz w:val="20"/>
          <w:szCs w:val="20"/>
          <w:shd w:val="clear" w:color="auto" w:fill="FFFFFF"/>
        </w:rPr>
        <w:t>.</w:t>
      </w:r>
      <w:r w:rsidRPr="00356AA1">
        <w:rPr>
          <w:sz w:val="20"/>
          <w:szCs w:val="20"/>
          <w:shd w:val="clear" w:color="auto" w:fill="FFFFFF"/>
        </w:rPr>
        <w:tab/>
      </w:r>
      <w:r w:rsidR="009D17F1">
        <w:rPr>
          <w:sz w:val="20"/>
          <w:szCs w:val="20"/>
          <w:shd w:val="clear" w:color="auto" w:fill="FFFFFF"/>
        </w:rPr>
        <w:t>I</w:t>
      </w:r>
      <w:r w:rsidRPr="00356AA1">
        <w:rPr>
          <w:sz w:val="20"/>
          <w:szCs w:val="20"/>
          <w:shd w:val="clear" w:color="auto" w:fill="FFFFFF"/>
        </w:rPr>
        <w:t xml:space="preserve">n yet another manifestation of the </w:t>
      </w:r>
      <w:r w:rsidR="009D17F1">
        <w:rPr>
          <w:sz w:val="20"/>
          <w:szCs w:val="20"/>
          <w:shd w:val="clear" w:color="auto" w:fill="FFFFFF"/>
        </w:rPr>
        <w:t>drafters’</w:t>
      </w:r>
      <w:r w:rsidR="009D17F1" w:rsidRPr="00356AA1">
        <w:rPr>
          <w:sz w:val="20"/>
          <w:szCs w:val="20"/>
          <w:shd w:val="clear" w:color="auto" w:fill="FFFFFF"/>
        </w:rPr>
        <w:t xml:space="preserve"> </w:t>
      </w:r>
      <w:r w:rsidRPr="00356AA1">
        <w:rPr>
          <w:sz w:val="20"/>
          <w:szCs w:val="20"/>
          <w:shd w:val="clear" w:color="auto" w:fill="FFFFFF"/>
        </w:rPr>
        <w:t xml:space="preserve">conviction that the future of </w:t>
      </w:r>
      <w:r w:rsidR="00A217A5" w:rsidRPr="00356AA1">
        <w:rPr>
          <w:sz w:val="20"/>
          <w:szCs w:val="20"/>
        </w:rPr>
        <w:t xml:space="preserve">Northern Ireland </w:t>
      </w:r>
      <w:r w:rsidRPr="00356AA1">
        <w:rPr>
          <w:sz w:val="20"/>
          <w:szCs w:val="20"/>
          <w:shd w:val="clear" w:color="auto" w:fill="FFFFFF"/>
        </w:rPr>
        <w:t xml:space="preserve">depended largely on the possibility of institutionalizing human rights, </w:t>
      </w:r>
      <w:r w:rsidR="009D17F1">
        <w:rPr>
          <w:sz w:val="20"/>
          <w:szCs w:val="20"/>
          <w:shd w:val="clear" w:color="auto" w:fill="FFFFFF"/>
        </w:rPr>
        <w:t>t</w:t>
      </w:r>
      <w:r w:rsidR="009D17F1" w:rsidRPr="009C7678">
        <w:rPr>
          <w:sz w:val="20"/>
          <w:szCs w:val="20"/>
          <w:shd w:val="clear" w:color="auto" w:fill="FFFFFF"/>
        </w:rPr>
        <w:t>he Good Friday</w:t>
      </w:r>
      <w:r w:rsidR="006F031C">
        <w:rPr>
          <w:sz w:val="20"/>
          <w:szCs w:val="20"/>
          <w:shd w:val="clear" w:color="auto" w:fill="FFFFFF"/>
        </w:rPr>
        <w:t xml:space="preserve"> </w:t>
      </w:r>
      <w:r w:rsidR="009D17F1" w:rsidRPr="009C7678">
        <w:rPr>
          <w:sz w:val="20"/>
          <w:szCs w:val="20"/>
          <w:shd w:val="clear" w:color="auto" w:fill="FFFFFF"/>
        </w:rPr>
        <w:t xml:space="preserve">Agreement </w:t>
      </w:r>
      <w:r w:rsidRPr="00356AA1">
        <w:rPr>
          <w:sz w:val="20"/>
          <w:szCs w:val="20"/>
          <w:shd w:val="clear" w:color="auto" w:fill="FFFFFF"/>
        </w:rPr>
        <w:t xml:space="preserve">called for the establishment of an independent </w:t>
      </w:r>
      <w:r w:rsidR="00A217A5" w:rsidRPr="00356AA1">
        <w:rPr>
          <w:sz w:val="20"/>
          <w:szCs w:val="20"/>
        </w:rPr>
        <w:t xml:space="preserve">Northern Ireland </w:t>
      </w:r>
      <w:r w:rsidR="009D17F1">
        <w:rPr>
          <w:sz w:val="20"/>
          <w:szCs w:val="20"/>
        </w:rPr>
        <w:t>h</w:t>
      </w:r>
      <w:r w:rsidRPr="00356AA1">
        <w:rPr>
          <w:sz w:val="20"/>
          <w:szCs w:val="20"/>
          <w:shd w:val="clear" w:color="auto" w:fill="FFFFFF"/>
        </w:rPr>
        <w:t xml:space="preserve">uman </w:t>
      </w:r>
      <w:r w:rsidR="009D17F1">
        <w:rPr>
          <w:sz w:val="20"/>
          <w:szCs w:val="20"/>
          <w:shd w:val="clear" w:color="auto" w:fill="FFFFFF"/>
        </w:rPr>
        <w:t>r</w:t>
      </w:r>
      <w:r w:rsidRPr="00356AA1">
        <w:rPr>
          <w:sz w:val="20"/>
          <w:szCs w:val="20"/>
          <w:shd w:val="clear" w:color="auto" w:fill="FFFFFF"/>
        </w:rPr>
        <w:t xml:space="preserve">ights </w:t>
      </w:r>
      <w:r w:rsidR="009D17F1">
        <w:rPr>
          <w:sz w:val="20"/>
          <w:szCs w:val="20"/>
          <w:shd w:val="clear" w:color="auto" w:fill="FFFFFF"/>
        </w:rPr>
        <w:t>c</w:t>
      </w:r>
      <w:r w:rsidRPr="00356AA1">
        <w:rPr>
          <w:sz w:val="20"/>
          <w:szCs w:val="20"/>
          <w:shd w:val="clear" w:color="auto" w:fill="FFFFFF"/>
        </w:rPr>
        <w:t xml:space="preserve">ommission, </w:t>
      </w:r>
      <w:r w:rsidR="009D17F1">
        <w:rPr>
          <w:sz w:val="20"/>
          <w:szCs w:val="20"/>
          <w:shd w:val="clear" w:color="auto" w:fill="FFFFFF"/>
        </w:rPr>
        <w:t xml:space="preserve">the tasks of which would be, inter alia, </w:t>
      </w:r>
      <w:r w:rsidRPr="00356AA1">
        <w:rPr>
          <w:sz w:val="20"/>
          <w:szCs w:val="20"/>
          <w:shd w:val="clear" w:color="auto" w:fill="FFFFFF"/>
        </w:rPr>
        <w:t xml:space="preserve">to advise on a </w:t>
      </w:r>
      <w:r w:rsidR="007950F8">
        <w:rPr>
          <w:sz w:val="20"/>
          <w:szCs w:val="20"/>
          <w:shd w:val="clear" w:color="auto" w:fill="FFFFFF"/>
        </w:rPr>
        <w:t>b</w:t>
      </w:r>
      <w:r w:rsidRPr="00356AA1">
        <w:rPr>
          <w:sz w:val="20"/>
          <w:szCs w:val="20"/>
          <w:shd w:val="clear" w:color="auto" w:fill="FFFFFF"/>
        </w:rPr>
        <w:t xml:space="preserve">ill of </w:t>
      </w:r>
      <w:r w:rsidR="007950F8">
        <w:rPr>
          <w:sz w:val="20"/>
          <w:szCs w:val="20"/>
          <w:shd w:val="clear" w:color="auto" w:fill="FFFFFF"/>
        </w:rPr>
        <w:t>r</w:t>
      </w:r>
      <w:r w:rsidRPr="00356AA1">
        <w:rPr>
          <w:sz w:val="20"/>
          <w:szCs w:val="20"/>
          <w:shd w:val="clear" w:color="auto" w:fill="FFFFFF"/>
        </w:rPr>
        <w:t xml:space="preserve">ights for </w:t>
      </w:r>
      <w:r w:rsidR="00A217A5" w:rsidRPr="00356AA1">
        <w:rPr>
          <w:sz w:val="20"/>
          <w:szCs w:val="20"/>
        </w:rPr>
        <w:t>Northern Ireland</w:t>
      </w:r>
      <w:r w:rsidRPr="00356AA1">
        <w:rPr>
          <w:sz w:val="20"/>
          <w:szCs w:val="20"/>
          <w:shd w:val="clear" w:color="auto" w:fill="FFFFFF"/>
        </w:rPr>
        <w:t xml:space="preserve">. The </w:t>
      </w:r>
      <w:r w:rsidR="007950F8" w:rsidRPr="00DA73A6">
        <w:rPr>
          <w:sz w:val="20"/>
          <w:szCs w:val="20"/>
        </w:rPr>
        <w:t xml:space="preserve">Northern Ireland </w:t>
      </w:r>
      <w:r w:rsidR="007950F8">
        <w:rPr>
          <w:sz w:val="20"/>
          <w:szCs w:val="20"/>
        </w:rPr>
        <w:t>H</w:t>
      </w:r>
      <w:r w:rsidR="007950F8" w:rsidRPr="00DA73A6">
        <w:rPr>
          <w:sz w:val="20"/>
          <w:szCs w:val="20"/>
          <w:shd w:val="clear" w:color="auto" w:fill="FFFFFF"/>
        </w:rPr>
        <w:t xml:space="preserve">uman </w:t>
      </w:r>
      <w:r w:rsidR="007950F8">
        <w:rPr>
          <w:sz w:val="20"/>
          <w:szCs w:val="20"/>
          <w:shd w:val="clear" w:color="auto" w:fill="FFFFFF"/>
        </w:rPr>
        <w:t>R</w:t>
      </w:r>
      <w:r w:rsidR="007950F8" w:rsidRPr="00DA73A6">
        <w:rPr>
          <w:sz w:val="20"/>
          <w:szCs w:val="20"/>
          <w:shd w:val="clear" w:color="auto" w:fill="FFFFFF"/>
        </w:rPr>
        <w:t>ights</w:t>
      </w:r>
      <w:r w:rsidR="007950F8" w:rsidRPr="007950F8" w:rsidDel="007950F8">
        <w:rPr>
          <w:sz w:val="20"/>
          <w:szCs w:val="20"/>
          <w:shd w:val="clear" w:color="auto" w:fill="FFFFFF"/>
        </w:rPr>
        <w:t xml:space="preserve"> </w:t>
      </w:r>
      <w:r w:rsidR="007950F8">
        <w:rPr>
          <w:sz w:val="20"/>
          <w:szCs w:val="20"/>
          <w:shd w:val="clear" w:color="auto" w:fill="FFFFFF"/>
        </w:rPr>
        <w:t>Commission</w:t>
      </w:r>
      <w:r w:rsidR="007950F8" w:rsidRPr="00356AA1">
        <w:rPr>
          <w:sz w:val="20"/>
          <w:szCs w:val="20"/>
          <w:shd w:val="clear" w:color="auto" w:fill="FFFFFF"/>
        </w:rPr>
        <w:t xml:space="preserve"> </w:t>
      </w:r>
      <w:r w:rsidRPr="00356AA1">
        <w:rPr>
          <w:sz w:val="20"/>
          <w:szCs w:val="20"/>
          <w:shd w:val="clear" w:color="auto" w:fill="FFFFFF"/>
        </w:rPr>
        <w:t>presented its recommendations in</w:t>
      </w:r>
      <w:r w:rsidRPr="00FF4737">
        <w:rPr>
          <w:shd w:val="clear" w:color="auto" w:fill="FFFFFF"/>
        </w:rPr>
        <w:t xml:space="preserve"> </w:t>
      </w:r>
      <w:r w:rsidRPr="00356AA1">
        <w:rPr>
          <w:sz w:val="20"/>
          <w:shd w:val="clear" w:color="auto" w:fill="FFFFFF"/>
        </w:rPr>
        <w:t xml:space="preserve">December 2008. In November 2009, the </w:t>
      </w:r>
      <w:r w:rsidR="00A217A5" w:rsidRPr="00356AA1">
        <w:rPr>
          <w:sz w:val="20"/>
        </w:rPr>
        <w:t xml:space="preserve">Northern Ireland </w:t>
      </w:r>
      <w:r w:rsidRPr="00356AA1">
        <w:rPr>
          <w:sz w:val="20"/>
          <w:shd w:val="clear" w:color="auto" w:fill="FFFFFF"/>
        </w:rPr>
        <w:t xml:space="preserve">Office published </w:t>
      </w:r>
      <w:r w:rsidR="007950F8">
        <w:rPr>
          <w:sz w:val="20"/>
          <w:shd w:val="clear" w:color="auto" w:fill="FFFFFF"/>
        </w:rPr>
        <w:t>a</w:t>
      </w:r>
      <w:r w:rsidR="007950F8" w:rsidRPr="00356AA1">
        <w:rPr>
          <w:sz w:val="20"/>
          <w:shd w:val="clear" w:color="auto" w:fill="FFFFFF"/>
        </w:rPr>
        <w:t xml:space="preserve"> </w:t>
      </w:r>
      <w:r w:rsidR="007950F8">
        <w:rPr>
          <w:sz w:val="20"/>
          <w:shd w:val="clear" w:color="auto" w:fill="FFFFFF"/>
        </w:rPr>
        <w:t>c</w:t>
      </w:r>
      <w:r w:rsidRPr="00356AA1">
        <w:rPr>
          <w:sz w:val="20"/>
          <w:shd w:val="clear" w:color="auto" w:fill="FFFFFF"/>
        </w:rPr>
        <w:t xml:space="preserve">onsultation </w:t>
      </w:r>
      <w:r w:rsidR="007950F8">
        <w:rPr>
          <w:sz w:val="20"/>
          <w:shd w:val="clear" w:color="auto" w:fill="FFFFFF"/>
        </w:rPr>
        <w:t>p</w:t>
      </w:r>
      <w:r w:rsidRPr="00356AA1">
        <w:rPr>
          <w:sz w:val="20"/>
          <w:shd w:val="clear" w:color="auto" w:fill="FFFFFF"/>
        </w:rPr>
        <w:t xml:space="preserve">aper on </w:t>
      </w:r>
      <w:r w:rsidR="007950F8">
        <w:rPr>
          <w:sz w:val="20"/>
          <w:shd w:val="clear" w:color="auto" w:fill="FFFFFF"/>
        </w:rPr>
        <w:t>a</w:t>
      </w:r>
      <w:r w:rsidRPr="00356AA1">
        <w:rPr>
          <w:sz w:val="20"/>
          <w:shd w:val="clear" w:color="auto" w:fill="FFFFFF"/>
        </w:rPr>
        <w:t xml:space="preserve"> </w:t>
      </w:r>
      <w:r w:rsidR="007950F8">
        <w:rPr>
          <w:sz w:val="20"/>
          <w:shd w:val="clear" w:color="auto" w:fill="FFFFFF"/>
        </w:rPr>
        <w:t>b</w:t>
      </w:r>
      <w:r w:rsidRPr="00356AA1">
        <w:rPr>
          <w:sz w:val="20"/>
          <w:shd w:val="clear" w:color="auto" w:fill="FFFFFF"/>
        </w:rPr>
        <w:t xml:space="preserve">ill of </w:t>
      </w:r>
      <w:r w:rsidR="007950F8">
        <w:rPr>
          <w:sz w:val="20"/>
          <w:shd w:val="clear" w:color="auto" w:fill="FFFFFF"/>
        </w:rPr>
        <w:t>r</w:t>
      </w:r>
      <w:r w:rsidRPr="00356AA1">
        <w:rPr>
          <w:sz w:val="20"/>
          <w:shd w:val="clear" w:color="auto" w:fill="FFFFFF"/>
        </w:rPr>
        <w:t>ights. In parallel, the Bill of Rights Forum</w:t>
      </w:r>
      <w:r w:rsidR="007950F8">
        <w:rPr>
          <w:sz w:val="20"/>
          <w:shd w:val="clear" w:color="auto" w:fill="FFFFFF"/>
        </w:rPr>
        <w:t>,</w:t>
      </w:r>
      <w:r w:rsidRPr="00356AA1">
        <w:rPr>
          <w:sz w:val="20"/>
          <w:shd w:val="clear" w:color="auto" w:fill="FFFFFF"/>
        </w:rPr>
        <w:t xml:space="preserve"> established by the Government as a result of the St. Andrews Agreement of October 2006, </w:t>
      </w:r>
      <w:r w:rsidR="007950F8">
        <w:rPr>
          <w:sz w:val="20"/>
          <w:shd w:val="clear" w:color="auto" w:fill="FFFFFF"/>
        </w:rPr>
        <w:t>submitted</w:t>
      </w:r>
      <w:r w:rsidRPr="00356AA1">
        <w:rPr>
          <w:sz w:val="20"/>
          <w:shd w:val="clear" w:color="auto" w:fill="FFFFFF"/>
        </w:rPr>
        <w:t xml:space="preserve"> its extensive report to the </w:t>
      </w:r>
      <w:r w:rsidR="007950F8">
        <w:rPr>
          <w:sz w:val="20"/>
          <w:shd w:val="clear" w:color="auto" w:fill="FFFFFF"/>
        </w:rPr>
        <w:t>Commission</w:t>
      </w:r>
      <w:r w:rsidR="007950F8" w:rsidRPr="00356AA1">
        <w:rPr>
          <w:sz w:val="20"/>
          <w:shd w:val="clear" w:color="auto" w:fill="FFFFFF"/>
        </w:rPr>
        <w:t xml:space="preserve"> </w:t>
      </w:r>
      <w:r w:rsidRPr="00356AA1">
        <w:rPr>
          <w:sz w:val="20"/>
          <w:shd w:val="clear" w:color="auto" w:fill="FFFFFF"/>
        </w:rPr>
        <w:t xml:space="preserve">in March 2008. </w:t>
      </w:r>
    </w:p>
    <w:p w:rsidR="00FF4737" w:rsidRPr="00FF4737" w:rsidRDefault="00F55869">
      <w:pPr>
        <w:pStyle w:val="SingleTxtG"/>
        <w:rPr>
          <w:shd w:val="clear" w:color="auto" w:fill="FFFFFF"/>
        </w:rPr>
      </w:pPr>
      <w:r w:rsidRPr="00356AA1">
        <w:rPr>
          <w:sz w:val="20"/>
          <w:shd w:val="clear" w:color="auto" w:fill="FFFFFF"/>
        </w:rPr>
        <w:t>10</w:t>
      </w:r>
      <w:r w:rsidR="0042434E">
        <w:rPr>
          <w:sz w:val="20"/>
          <w:shd w:val="clear" w:color="auto" w:fill="FFFFFF"/>
        </w:rPr>
        <w:t>1</w:t>
      </w:r>
      <w:r w:rsidRPr="00356AA1">
        <w:rPr>
          <w:sz w:val="20"/>
          <w:shd w:val="clear" w:color="auto" w:fill="FFFFFF"/>
        </w:rPr>
        <w:t>.</w:t>
      </w:r>
      <w:r w:rsidRPr="00356AA1">
        <w:rPr>
          <w:sz w:val="20"/>
          <w:shd w:val="clear" w:color="auto" w:fill="FFFFFF"/>
        </w:rPr>
        <w:tab/>
        <w:t xml:space="preserve">Despite the richness of the debates, declining political will and lack of consensus have brought the process </w:t>
      </w:r>
      <w:r w:rsidR="007950F8">
        <w:rPr>
          <w:sz w:val="20"/>
          <w:shd w:val="clear" w:color="auto" w:fill="FFFFFF"/>
        </w:rPr>
        <w:t xml:space="preserve">of developing a bill of rights </w:t>
      </w:r>
      <w:r w:rsidRPr="00356AA1">
        <w:rPr>
          <w:sz w:val="20"/>
          <w:shd w:val="clear" w:color="auto" w:fill="FFFFFF"/>
        </w:rPr>
        <w:t>to a standstill. All stakeholders should resume this process expeditiously.</w:t>
      </w:r>
    </w:p>
    <w:p w:rsidR="00FF4737" w:rsidRPr="00FF4737" w:rsidRDefault="009E47D5" w:rsidP="00356AA1">
      <w:pPr>
        <w:pStyle w:val="H1G"/>
        <w:spacing w:line="240" w:lineRule="atLeast"/>
      </w:pPr>
      <w:r w:rsidRPr="00FF4737">
        <w:tab/>
        <w:t>E.</w:t>
      </w:r>
      <w:r w:rsidRPr="00FF4737">
        <w:tab/>
        <w:t xml:space="preserve">Interventions in the </w:t>
      </w:r>
      <w:r w:rsidR="00A217A5" w:rsidRPr="00FF4737">
        <w:t>c</w:t>
      </w:r>
      <w:r w:rsidRPr="00FF4737">
        <w:t xml:space="preserve">ultural </w:t>
      </w:r>
      <w:r w:rsidR="006F031C">
        <w:t>sphere</w:t>
      </w:r>
    </w:p>
    <w:p w:rsidR="00FF4737" w:rsidRPr="00356AA1" w:rsidRDefault="00B72409">
      <w:pPr>
        <w:pStyle w:val="SingleTxtG"/>
        <w:rPr>
          <w:sz w:val="20"/>
          <w:lang w:eastAsia="en-GB"/>
        </w:rPr>
      </w:pPr>
      <w:r w:rsidRPr="00356AA1">
        <w:rPr>
          <w:sz w:val="20"/>
          <w:lang w:eastAsia="en-GB"/>
        </w:rPr>
        <w:t>10</w:t>
      </w:r>
      <w:r w:rsidR="0042434E">
        <w:rPr>
          <w:sz w:val="20"/>
          <w:lang w:eastAsia="en-GB"/>
        </w:rPr>
        <w:t>2</w:t>
      </w:r>
      <w:r w:rsidRPr="00356AA1">
        <w:rPr>
          <w:sz w:val="20"/>
          <w:lang w:eastAsia="en-GB"/>
        </w:rPr>
        <w:t>.</w:t>
      </w:r>
      <w:r w:rsidRPr="00356AA1">
        <w:rPr>
          <w:sz w:val="20"/>
          <w:lang w:eastAsia="en-GB"/>
        </w:rPr>
        <w:tab/>
        <w:t xml:space="preserve">In addition to institutional reform, social transformation </w:t>
      </w:r>
      <w:r w:rsidR="007950F8" w:rsidRPr="005851EF">
        <w:rPr>
          <w:sz w:val="20"/>
          <w:lang w:eastAsia="en-GB"/>
        </w:rPr>
        <w:t xml:space="preserve">also </w:t>
      </w:r>
      <w:r w:rsidRPr="00356AA1">
        <w:rPr>
          <w:sz w:val="20"/>
          <w:lang w:eastAsia="en-GB"/>
        </w:rPr>
        <w:t>involves cultural initiatives.</w:t>
      </w:r>
      <w:r w:rsidR="00781044">
        <w:rPr>
          <w:sz w:val="20"/>
          <w:lang w:eastAsia="en-GB"/>
        </w:rPr>
        <w:t xml:space="preserve"> </w:t>
      </w:r>
      <w:r w:rsidRPr="00356AA1">
        <w:rPr>
          <w:sz w:val="20"/>
          <w:lang w:eastAsia="en-GB"/>
        </w:rPr>
        <w:t xml:space="preserve">In </w:t>
      </w:r>
      <w:r w:rsidR="00A217A5" w:rsidRPr="00356AA1">
        <w:rPr>
          <w:sz w:val="20"/>
        </w:rPr>
        <w:t>Northern Ireland</w:t>
      </w:r>
      <w:r w:rsidR="007950F8">
        <w:rPr>
          <w:sz w:val="20"/>
        </w:rPr>
        <w:t>,</w:t>
      </w:r>
      <w:r w:rsidR="00A217A5" w:rsidRPr="00356AA1">
        <w:rPr>
          <w:sz w:val="20"/>
        </w:rPr>
        <w:t xml:space="preserve"> </w:t>
      </w:r>
      <w:r w:rsidRPr="00356AA1">
        <w:rPr>
          <w:sz w:val="20"/>
          <w:lang w:eastAsia="en-GB"/>
        </w:rPr>
        <w:t xml:space="preserve">there is no more obvious example of these </w:t>
      </w:r>
      <w:r w:rsidR="007950F8">
        <w:rPr>
          <w:sz w:val="20"/>
          <w:lang w:eastAsia="en-GB"/>
        </w:rPr>
        <w:t xml:space="preserve">initiatives </w:t>
      </w:r>
      <w:r w:rsidRPr="00356AA1">
        <w:rPr>
          <w:sz w:val="20"/>
          <w:lang w:eastAsia="en-GB"/>
        </w:rPr>
        <w:t xml:space="preserve">than memorials. </w:t>
      </w:r>
      <w:r w:rsidR="007950F8">
        <w:rPr>
          <w:sz w:val="20"/>
          <w:lang w:eastAsia="en-GB"/>
        </w:rPr>
        <w:t>More than</w:t>
      </w:r>
      <w:r w:rsidRPr="00356AA1">
        <w:rPr>
          <w:sz w:val="20"/>
          <w:lang w:eastAsia="en-GB"/>
        </w:rPr>
        <w:t xml:space="preserve"> 600 memorials, mostly established by communities, organi</w:t>
      </w:r>
      <w:r w:rsidR="007950F8">
        <w:rPr>
          <w:sz w:val="20"/>
          <w:lang w:eastAsia="en-GB"/>
        </w:rPr>
        <w:t>z</w:t>
      </w:r>
      <w:r w:rsidRPr="00356AA1">
        <w:rPr>
          <w:sz w:val="20"/>
          <w:lang w:eastAsia="en-GB"/>
        </w:rPr>
        <w:t>ations and individuals, are places of memory for those killed and injured during the Troubles. The Special Rapporteur had the opportunity to visit the Omagh Bomb Memorial Garden and the temporary facilities of the Bloody Sunday Museum. Other recent initiatives include the Peace Bridge in Derry/Londonderry</w:t>
      </w:r>
      <w:r w:rsidR="00D46D60">
        <w:rPr>
          <w:sz w:val="20"/>
          <w:lang w:eastAsia="en-GB"/>
        </w:rPr>
        <w:t xml:space="preserve"> and</w:t>
      </w:r>
      <w:r w:rsidRPr="00356AA1">
        <w:rPr>
          <w:sz w:val="20"/>
          <w:lang w:eastAsia="en-GB"/>
        </w:rPr>
        <w:t xml:space="preserve"> the establishment of </w:t>
      </w:r>
      <w:r w:rsidR="00D46D60">
        <w:rPr>
          <w:sz w:val="20"/>
          <w:lang w:eastAsia="en-GB"/>
        </w:rPr>
        <w:t>the</w:t>
      </w:r>
      <w:r w:rsidRPr="00356AA1">
        <w:rPr>
          <w:sz w:val="20"/>
          <w:lang w:eastAsia="en-GB"/>
        </w:rPr>
        <w:t xml:space="preserve"> Private Day of Reflection (21 June). </w:t>
      </w:r>
    </w:p>
    <w:p w:rsidR="00FF4737" w:rsidRPr="00FF4737" w:rsidRDefault="00B72409">
      <w:pPr>
        <w:pStyle w:val="SingleTxtG"/>
        <w:rPr>
          <w:lang w:eastAsia="en-GB"/>
        </w:rPr>
      </w:pPr>
      <w:r w:rsidRPr="00356AA1">
        <w:rPr>
          <w:sz w:val="20"/>
          <w:lang w:eastAsia="en-GB"/>
        </w:rPr>
        <w:t>10</w:t>
      </w:r>
      <w:r w:rsidR="0042434E">
        <w:rPr>
          <w:sz w:val="20"/>
          <w:lang w:eastAsia="en-GB"/>
        </w:rPr>
        <w:t>3</w:t>
      </w:r>
      <w:r w:rsidRPr="00356AA1">
        <w:rPr>
          <w:sz w:val="20"/>
          <w:lang w:eastAsia="en-GB"/>
        </w:rPr>
        <w:t>.</w:t>
      </w:r>
      <w:r w:rsidRPr="00356AA1">
        <w:rPr>
          <w:sz w:val="20"/>
          <w:lang w:eastAsia="en-GB"/>
        </w:rPr>
        <w:tab/>
      </w:r>
      <w:r w:rsidR="00D46D60">
        <w:rPr>
          <w:sz w:val="20"/>
          <w:lang w:eastAsia="en-GB"/>
        </w:rPr>
        <w:t>Although v</w:t>
      </w:r>
      <w:r w:rsidRPr="00356AA1">
        <w:rPr>
          <w:sz w:val="20"/>
          <w:lang w:eastAsia="en-GB"/>
        </w:rPr>
        <w:t xml:space="preserve">ictims have been actively involved or even lead some memorialization activities, there is no consistent policy on this issue. </w:t>
      </w:r>
      <w:r w:rsidR="00A21406">
        <w:rPr>
          <w:sz w:val="20"/>
          <w:lang w:eastAsia="en-GB"/>
        </w:rPr>
        <w:t>One</w:t>
      </w:r>
      <w:r w:rsidRPr="00356AA1">
        <w:rPr>
          <w:sz w:val="20"/>
          <w:lang w:eastAsia="en-GB"/>
        </w:rPr>
        <w:t xml:space="preserve"> recurrent challenge is </w:t>
      </w:r>
      <w:r w:rsidR="002555B9">
        <w:rPr>
          <w:sz w:val="20"/>
          <w:lang w:eastAsia="en-GB"/>
        </w:rPr>
        <w:t xml:space="preserve">posed by the fact </w:t>
      </w:r>
      <w:r w:rsidRPr="00356AA1">
        <w:rPr>
          <w:sz w:val="20"/>
          <w:lang w:eastAsia="en-GB"/>
        </w:rPr>
        <w:t xml:space="preserve">that a </w:t>
      </w:r>
      <w:r w:rsidR="002555B9">
        <w:rPr>
          <w:sz w:val="20"/>
          <w:lang w:eastAsia="en-GB"/>
        </w:rPr>
        <w:t>significant</w:t>
      </w:r>
      <w:r w:rsidR="002555B9" w:rsidRPr="00356AA1">
        <w:rPr>
          <w:sz w:val="20"/>
          <w:lang w:eastAsia="en-GB"/>
        </w:rPr>
        <w:t xml:space="preserve"> </w:t>
      </w:r>
      <w:r w:rsidRPr="00356AA1">
        <w:rPr>
          <w:sz w:val="20"/>
          <w:lang w:eastAsia="en-GB"/>
        </w:rPr>
        <w:t>number of memorialization and other cultural initiatives have not been able to foster mutual understanding</w:t>
      </w:r>
      <w:r w:rsidR="002555B9">
        <w:rPr>
          <w:sz w:val="20"/>
          <w:lang w:eastAsia="en-GB"/>
        </w:rPr>
        <w:t>,</w:t>
      </w:r>
      <w:r w:rsidRPr="00356AA1">
        <w:rPr>
          <w:sz w:val="20"/>
          <w:lang w:eastAsia="en-GB"/>
        </w:rPr>
        <w:t xml:space="preserve"> but </w:t>
      </w:r>
      <w:r w:rsidR="002555B9">
        <w:rPr>
          <w:sz w:val="20"/>
          <w:lang w:eastAsia="en-GB"/>
        </w:rPr>
        <w:t xml:space="preserve">have </w:t>
      </w:r>
      <w:r w:rsidRPr="00356AA1">
        <w:rPr>
          <w:sz w:val="20"/>
          <w:lang w:eastAsia="en-GB"/>
        </w:rPr>
        <w:t>rather contribute</w:t>
      </w:r>
      <w:r w:rsidR="002555B9">
        <w:rPr>
          <w:sz w:val="20"/>
          <w:lang w:eastAsia="en-GB"/>
        </w:rPr>
        <w:t>d</w:t>
      </w:r>
      <w:r w:rsidRPr="00356AA1">
        <w:rPr>
          <w:sz w:val="20"/>
          <w:lang w:eastAsia="en-GB"/>
        </w:rPr>
        <w:t xml:space="preserve"> to persisting divisions. The absence of a collective memorial for all victims of the Troubles, another proposal long discussed, is also telling.</w:t>
      </w:r>
      <w:r w:rsidRPr="00FF4737">
        <w:rPr>
          <w:rStyle w:val="FootnoteReference"/>
          <w:lang w:eastAsia="en-GB"/>
        </w:rPr>
        <w:footnoteReference w:id="30"/>
      </w:r>
    </w:p>
    <w:p w:rsidR="00FF4737" w:rsidRPr="00FF4737" w:rsidRDefault="00B72409" w:rsidP="00356AA1">
      <w:pPr>
        <w:pStyle w:val="H1G"/>
        <w:spacing w:line="240" w:lineRule="atLeast"/>
        <w:rPr>
          <w:lang w:eastAsia="en-GB"/>
        </w:rPr>
      </w:pPr>
      <w:r w:rsidRPr="00FF4737">
        <w:rPr>
          <w:lang w:eastAsia="en-GB"/>
        </w:rPr>
        <w:tab/>
        <w:t>F.</w:t>
      </w:r>
      <w:r w:rsidRPr="00FF4737">
        <w:rPr>
          <w:lang w:eastAsia="en-GB"/>
        </w:rPr>
        <w:tab/>
        <w:t xml:space="preserve">Societal </w:t>
      </w:r>
      <w:r w:rsidR="00774C5F">
        <w:rPr>
          <w:lang w:eastAsia="en-GB"/>
        </w:rPr>
        <w:t>i</w:t>
      </w:r>
      <w:r w:rsidRPr="00FF4737">
        <w:rPr>
          <w:lang w:eastAsia="en-GB"/>
        </w:rPr>
        <w:t>nterventions</w:t>
      </w:r>
    </w:p>
    <w:p w:rsidR="00FF4737" w:rsidRPr="00356AA1" w:rsidRDefault="006448F2">
      <w:pPr>
        <w:pStyle w:val="SingleTxtG"/>
        <w:rPr>
          <w:sz w:val="20"/>
          <w:lang w:eastAsia="en-GB"/>
        </w:rPr>
      </w:pPr>
      <w:r w:rsidRPr="00356AA1">
        <w:rPr>
          <w:sz w:val="20"/>
          <w:lang w:eastAsia="en-GB"/>
        </w:rPr>
        <w:t>10</w:t>
      </w:r>
      <w:r w:rsidR="0042434E">
        <w:rPr>
          <w:sz w:val="20"/>
          <w:lang w:eastAsia="en-GB"/>
        </w:rPr>
        <w:t>4</w:t>
      </w:r>
      <w:r w:rsidRPr="00356AA1">
        <w:rPr>
          <w:sz w:val="20"/>
          <w:lang w:eastAsia="en-GB"/>
        </w:rPr>
        <w:t>.</w:t>
      </w:r>
      <w:r w:rsidRPr="00356AA1">
        <w:rPr>
          <w:sz w:val="20"/>
          <w:lang w:eastAsia="en-GB"/>
        </w:rPr>
        <w:tab/>
        <w:t xml:space="preserve">Civil society organizations, including </w:t>
      </w:r>
      <w:r w:rsidR="00E26AF3">
        <w:rPr>
          <w:sz w:val="20"/>
          <w:lang w:eastAsia="en-GB"/>
        </w:rPr>
        <w:t>non-governmental organizations,</w:t>
      </w:r>
      <w:r w:rsidR="00E26AF3" w:rsidRPr="00356AA1">
        <w:rPr>
          <w:sz w:val="20"/>
          <w:lang w:eastAsia="en-GB"/>
        </w:rPr>
        <w:t xml:space="preserve"> </w:t>
      </w:r>
      <w:r w:rsidRPr="00356AA1">
        <w:rPr>
          <w:sz w:val="20"/>
          <w:lang w:eastAsia="en-GB"/>
        </w:rPr>
        <w:t xml:space="preserve">can make </w:t>
      </w:r>
      <w:r w:rsidR="00E26AF3">
        <w:rPr>
          <w:sz w:val="20"/>
          <w:lang w:eastAsia="en-GB"/>
        </w:rPr>
        <w:t xml:space="preserve">a </w:t>
      </w:r>
      <w:r w:rsidRPr="00356AA1">
        <w:rPr>
          <w:sz w:val="20"/>
          <w:lang w:eastAsia="en-GB"/>
        </w:rPr>
        <w:t>crucial contribution to reconciliation and moving forward.</w:t>
      </w:r>
      <w:r w:rsidR="00781044">
        <w:rPr>
          <w:sz w:val="20"/>
          <w:lang w:eastAsia="en-GB"/>
        </w:rPr>
        <w:t xml:space="preserve"> </w:t>
      </w:r>
    </w:p>
    <w:p w:rsidR="00FF4737" w:rsidRPr="00356AA1" w:rsidRDefault="006448F2">
      <w:pPr>
        <w:pStyle w:val="SingleTxtG"/>
        <w:rPr>
          <w:sz w:val="20"/>
          <w:lang w:eastAsia="en-GB"/>
        </w:rPr>
      </w:pPr>
      <w:r w:rsidRPr="00356AA1">
        <w:rPr>
          <w:sz w:val="20"/>
          <w:lang w:eastAsia="en-GB"/>
        </w:rPr>
        <w:lastRenderedPageBreak/>
        <w:t>10</w:t>
      </w:r>
      <w:r w:rsidR="0042434E">
        <w:rPr>
          <w:sz w:val="20"/>
          <w:lang w:eastAsia="en-GB"/>
        </w:rPr>
        <w:t>5</w:t>
      </w:r>
      <w:r w:rsidRPr="00356AA1">
        <w:rPr>
          <w:sz w:val="20"/>
          <w:lang w:eastAsia="en-GB"/>
        </w:rPr>
        <w:t>.</w:t>
      </w:r>
      <w:r w:rsidRPr="00356AA1">
        <w:rPr>
          <w:sz w:val="20"/>
          <w:lang w:eastAsia="en-GB"/>
        </w:rPr>
        <w:tab/>
        <w:t xml:space="preserve">Civil society and </w:t>
      </w:r>
      <w:r w:rsidR="00E26AF3">
        <w:rPr>
          <w:sz w:val="20"/>
          <w:lang w:eastAsia="en-GB"/>
        </w:rPr>
        <w:t>non-governmental organizations</w:t>
      </w:r>
      <w:r w:rsidR="00E26AF3" w:rsidRPr="00356AA1">
        <w:rPr>
          <w:sz w:val="20"/>
          <w:lang w:eastAsia="en-GB"/>
        </w:rPr>
        <w:t xml:space="preserve"> </w:t>
      </w:r>
      <w:r w:rsidRPr="00356AA1">
        <w:rPr>
          <w:sz w:val="20"/>
          <w:lang w:eastAsia="en-GB"/>
        </w:rPr>
        <w:t xml:space="preserve">have advocated for </w:t>
      </w:r>
      <w:r w:rsidR="00E26AF3">
        <w:rPr>
          <w:sz w:val="20"/>
          <w:lang w:eastAsia="en-GB"/>
        </w:rPr>
        <w:t xml:space="preserve">redressing </w:t>
      </w:r>
      <w:r w:rsidRPr="00356AA1">
        <w:rPr>
          <w:sz w:val="20"/>
          <w:lang w:eastAsia="en-GB"/>
        </w:rPr>
        <w:t>the past in N</w:t>
      </w:r>
      <w:r w:rsidR="00E26AF3">
        <w:rPr>
          <w:sz w:val="20"/>
          <w:lang w:eastAsia="en-GB"/>
        </w:rPr>
        <w:t xml:space="preserve">orthern </w:t>
      </w:r>
      <w:r w:rsidRPr="00356AA1">
        <w:rPr>
          <w:sz w:val="20"/>
          <w:lang w:eastAsia="en-GB"/>
        </w:rPr>
        <w:t>I</w:t>
      </w:r>
      <w:r w:rsidR="00E26AF3">
        <w:rPr>
          <w:sz w:val="20"/>
          <w:lang w:eastAsia="en-GB"/>
        </w:rPr>
        <w:t>reland</w:t>
      </w:r>
      <w:r w:rsidRPr="00356AA1">
        <w:rPr>
          <w:sz w:val="20"/>
          <w:lang w:eastAsia="en-GB"/>
        </w:rPr>
        <w:t xml:space="preserve">, placing victims </w:t>
      </w:r>
      <w:r w:rsidR="00E26AF3">
        <w:rPr>
          <w:sz w:val="20"/>
          <w:lang w:eastAsia="en-GB"/>
        </w:rPr>
        <w:t>at</w:t>
      </w:r>
      <w:r w:rsidR="00E26AF3" w:rsidRPr="00356AA1">
        <w:rPr>
          <w:sz w:val="20"/>
          <w:lang w:eastAsia="en-GB"/>
        </w:rPr>
        <w:t xml:space="preserve"> </w:t>
      </w:r>
      <w:r w:rsidRPr="00356AA1">
        <w:rPr>
          <w:sz w:val="20"/>
          <w:lang w:eastAsia="en-GB"/>
        </w:rPr>
        <w:t xml:space="preserve">the centre of their approach. </w:t>
      </w:r>
      <w:r w:rsidR="00E26AF3">
        <w:rPr>
          <w:sz w:val="20"/>
          <w:lang w:eastAsia="en-GB"/>
        </w:rPr>
        <w:t>M</w:t>
      </w:r>
      <w:r w:rsidRPr="00356AA1">
        <w:rPr>
          <w:sz w:val="20"/>
          <w:lang w:eastAsia="en-GB"/>
        </w:rPr>
        <w:t>any organizations</w:t>
      </w:r>
      <w:r w:rsidR="00E26AF3">
        <w:rPr>
          <w:sz w:val="20"/>
          <w:lang w:eastAsia="en-GB"/>
        </w:rPr>
        <w:t>, however,</w:t>
      </w:r>
      <w:r w:rsidRPr="00356AA1">
        <w:rPr>
          <w:sz w:val="20"/>
          <w:lang w:eastAsia="en-GB"/>
        </w:rPr>
        <w:t xml:space="preserve"> continue to focus on what separates them from others. </w:t>
      </w:r>
      <w:r w:rsidR="00277A1F">
        <w:rPr>
          <w:sz w:val="20"/>
          <w:lang w:eastAsia="en-GB"/>
        </w:rPr>
        <w:t>Most</w:t>
      </w:r>
      <w:r w:rsidRPr="00356AA1">
        <w:rPr>
          <w:sz w:val="20"/>
          <w:lang w:eastAsia="en-GB"/>
        </w:rPr>
        <w:t xml:space="preserve"> civil society groups representing victims have likewise become fragmented in their approach to advocacy.</w:t>
      </w:r>
    </w:p>
    <w:p w:rsidR="00FF4737" w:rsidRPr="00FF4737" w:rsidRDefault="006448F2">
      <w:pPr>
        <w:pStyle w:val="SingleTxtG"/>
        <w:rPr>
          <w:lang w:eastAsia="en-GB"/>
        </w:rPr>
      </w:pPr>
      <w:r w:rsidRPr="00356AA1">
        <w:rPr>
          <w:sz w:val="20"/>
          <w:lang w:eastAsia="en-GB"/>
        </w:rPr>
        <w:t>10</w:t>
      </w:r>
      <w:r w:rsidR="0042434E">
        <w:rPr>
          <w:sz w:val="20"/>
          <w:lang w:eastAsia="en-GB"/>
        </w:rPr>
        <w:t>6</w:t>
      </w:r>
      <w:r w:rsidRPr="00356AA1">
        <w:rPr>
          <w:sz w:val="20"/>
          <w:lang w:eastAsia="en-GB"/>
        </w:rPr>
        <w:t>.</w:t>
      </w:r>
      <w:r w:rsidRPr="00356AA1">
        <w:rPr>
          <w:sz w:val="20"/>
          <w:lang w:eastAsia="en-GB"/>
        </w:rPr>
        <w:tab/>
        <w:t xml:space="preserve">There </w:t>
      </w:r>
      <w:proofErr w:type="gramStart"/>
      <w:r w:rsidR="00277A1F">
        <w:rPr>
          <w:sz w:val="20"/>
          <w:lang w:eastAsia="en-GB"/>
        </w:rPr>
        <w:t>is</w:t>
      </w:r>
      <w:proofErr w:type="gramEnd"/>
      <w:r w:rsidRPr="00356AA1">
        <w:rPr>
          <w:sz w:val="20"/>
          <w:lang w:eastAsia="en-GB"/>
        </w:rPr>
        <w:t>, however, a small number of victims’ organi</w:t>
      </w:r>
      <w:r w:rsidR="00277A1F">
        <w:rPr>
          <w:sz w:val="20"/>
          <w:lang w:eastAsia="en-GB"/>
        </w:rPr>
        <w:t>z</w:t>
      </w:r>
      <w:r w:rsidRPr="00356AA1">
        <w:rPr>
          <w:sz w:val="20"/>
          <w:lang w:eastAsia="en-GB"/>
        </w:rPr>
        <w:t xml:space="preserve">ations </w:t>
      </w:r>
      <w:r w:rsidR="00277A1F">
        <w:rPr>
          <w:sz w:val="20"/>
          <w:lang w:eastAsia="en-GB"/>
        </w:rPr>
        <w:t>that</w:t>
      </w:r>
      <w:r w:rsidRPr="00356AA1">
        <w:rPr>
          <w:sz w:val="20"/>
          <w:lang w:eastAsia="en-GB"/>
        </w:rPr>
        <w:t xml:space="preserve"> do not respond </w:t>
      </w:r>
      <w:r w:rsidR="00277A1F" w:rsidRPr="00463721">
        <w:rPr>
          <w:sz w:val="20"/>
          <w:lang w:eastAsia="en-GB"/>
        </w:rPr>
        <w:t xml:space="preserve">exclusively </w:t>
      </w:r>
      <w:r w:rsidRPr="00356AA1">
        <w:rPr>
          <w:sz w:val="20"/>
          <w:lang w:eastAsia="en-GB"/>
        </w:rPr>
        <w:t>to an affiliation or constituency</w:t>
      </w:r>
      <w:r w:rsidR="00277A1F">
        <w:rPr>
          <w:sz w:val="20"/>
          <w:lang w:eastAsia="en-GB"/>
        </w:rPr>
        <w:t>,</w:t>
      </w:r>
      <w:r w:rsidRPr="00356AA1">
        <w:rPr>
          <w:sz w:val="20"/>
          <w:lang w:eastAsia="en-GB"/>
        </w:rPr>
        <w:t xml:space="preserve"> but </w:t>
      </w:r>
      <w:r w:rsidR="00277A1F">
        <w:rPr>
          <w:sz w:val="20"/>
          <w:lang w:eastAsia="en-GB"/>
        </w:rPr>
        <w:t xml:space="preserve">rather </w:t>
      </w:r>
      <w:r w:rsidRPr="00356AA1">
        <w:rPr>
          <w:sz w:val="20"/>
          <w:lang w:eastAsia="en-GB"/>
        </w:rPr>
        <w:t xml:space="preserve">provide services to </w:t>
      </w:r>
      <w:r w:rsidR="00277A1F">
        <w:rPr>
          <w:sz w:val="20"/>
          <w:lang w:eastAsia="en-GB"/>
        </w:rPr>
        <w:t>all</w:t>
      </w:r>
      <w:r w:rsidRPr="00356AA1">
        <w:rPr>
          <w:sz w:val="20"/>
          <w:lang w:eastAsia="en-GB"/>
        </w:rPr>
        <w:t xml:space="preserve"> </w:t>
      </w:r>
      <w:r w:rsidR="00277A1F">
        <w:rPr>
          <w:sz w:val="20"/>
          <w:lang w:eastAsia="en-GB"/>
        </w:rPr>
        <w:t>types</w:t>
      </w:r>
      <w:r w:rsidRPr="00356AA1">
        <w:rPr>
          <w:sz w:val="20"/>
          <w:lang w:eastAsia="en-GB"/>
        </w:rPr>
        <w:t xml:space="preserve"> of victims </w:t>
      </w:r>
      <w:r w:rsidR="00277A1F">
        <w:rPr>
          <w:sz w:val="20"/>
          <w:lang w:eastAsia="en-GB"/>
        </w:rPr>
        <w:t>on the basis of</w:t>
      </w:r>
      <w:r w:rsidRPr="00356AA1">
        <w:rPr>
          <w:sz w:val="20"/>
          <w:lang w:eastAsia="en-GB"/>
        </w:rPr>
        <w:t xml:space="preserve"> need. </w:t>
      </w:r>
      <w:r w:rsidR="00277A1F">
        <w:rPr>
          <w:sz w:val="20"/>
          <w:lang w:eastAsia="en-GB"/>
        </w:rPr>
        <w:t xml:space="preserve">Regrettably, such </w:t>
      </w:r>
      <w:r w:rsidRPr="00356AA1">
        <w:rPr>
          <w:sz w:val="20"/>
          <w:lang w:eastAsia="en-GB"/>
        </w:rPr>
        <w:t>organi</w:t>
      </w:r>
      <w:r w:rsidR="00277A1F">
        <w:rPr>
          <w:sz w:val="20"/>
          <w:lang w:eastAsia="en-GB"/>
        </w:rPr>
        <w:t>z</w:t>
      </w:r>
      <w:r w:rsidRPr="00356AA1">
        <w:rPr>
          <w:sz w:val="20"/>
          <w:lang w:eastAsia="en-GB"/>
        </w:rPr>
        <w:t>ations</w:t>
      </w:r>
      <w:r w:rsidR="00277A1F">
        <w:rPr>
          <w:sz w:val="20"/>
          <w:lang w:eastAsia="en-GB"/>
        </w:rPr>
        <w:t xml:space="preserve"> often</w:t>
      </w:r>
      <w:r w:rsidRPr="00356AA1">
        <w:rPr>
          <w:sz w:val="20"/>
          <w:lang w:eastAsia="en-GB"/>
        </w:rPr>
        <w:t xml:space="preserve"> struggl</w:t>
      </w:r>
      <w:r w:rsidR="00277A1F">
        <w:rPr>
          <w:sz w:val="20"/>
          <w:lang w:eastAsia="en-GB"/>
        </w:rPr>
        <w:t>e</w:t>
      </w:r>
      <w:r w:rsidRPr="00356AA1">
        <w:rPr>
          <w:sz w:val="20"/>
          <w:lang w:eastAsia="en-GB"/>
        </w:rPr>
        <w:t xml:space="preserve"> </w:t>
      </w:r>
      <w:r w:rsidR="00277A1F">
        <w:rPr>
          <w:sz w:val="20"/>
          <w:lang w:eastAsia="en-GB"/>
        </w:rPr>
        <w:t>to find</w:t>
      </w:r>
      <w:r w:rsidRPr="00356AA1">
        <w:rPr>
          <w:sz w:val="20"/>
          <w:lang w:eastAsia="en-GB"/>
        </w:rPr>
        <w:t xml:space="preserve"> funding</w:t>
      </w:r>
      <w:r w:rsidR="00277A1F">
        <w:rPr>
          <w:sz w:val="20"/>
          <w:lang w:eastAsia="en-GB"/>
        </w:rPr>
        <w:t xml:space="preserve"> precisely because</w:t>
      </w:r>
      <w:r w:rsidRPr="00356AA1">
        <w:rPr>
          <w:sz w:val="20"/>
          <w:lang w:eastAsia="en-GB"/>
        </w:rPr>
        <w:t xml:space="preserve"> they are not tied to any specific constituency.</w:t>
      </w:r>
    </w:p>
    <w:p w:rsidR="00FF4737" w:rsidRPr="00FF4737" w:rsidRDefault="006448F2" w:rsidP="00356AA1">
      <w:pPr>
        <w:pStyle w:val="HChG"/>
        <w:spacing w:line="240" w:lineRule="atLeast"/>
      </w:pPr>
      <w:r w:rsidRPr="00FF4737">
        <w:rPr>
          <w:rFonts w:cs="Arial"/>
          <w:bCs/>
          <w:iCs/>
          <w:color w:val="000000"/>
          <w:lang w:eastAsia="en-GB"/>
        </w:rPr>
        <w:tab/>
        <w:t>VIII.</w:t>
      </w:r>
      <w:r w:rsidRPr="00FF4737">
        <w:rPr>
          <w:rFonts w:cs="Arial"/>
          <w:bCs/>
          <w:iCs/>
          <w:color w:val="000000"/>
          <w:lang w:eastAsia="en-GB"/>
        </w:rPr>
        <w:tab/>
      </w:r>
      <w:r w:rsidR="00277A1F">
        <w:rPr>
          <w:rFonts w:cs="Arial"/>
          <w:bCs/>
          <w:iCs/>
          <w:color w:val="000000"/>
          <w:lang w:eastAsia="en-GB"/>
        </w:rPr>
        <w:t>C</w:t>
      </w:r>
      <w:r w:rsidR="00277A1F">
        <w:t>onclusions</w:t>
      </w:r>
    </w:p>
    <w:p w:rsidR="00FF4737" w:rsidRPr="00356AA1" w:rsidRDefault="00836D61">
      <w:pPr>
        <w:pStyle w:val="SingleTxtG"/>
        <w:rPr>
          <w:rFonts w:cs="Arial"/>
          <w:b/>
          <w:color w:val="000000"/>
          <w:sz w:val="20"/>
          <w:lang w:eastAsia="en-GB"/>
        </w:rPr>
      </w:pPr>
      <w:r w:rsidRPr="00356AA1">
        <w:rPr>
          <w:sz w:val="20"/>
        </w:rPr>
        <w:t>1</w:t>
      </w:r>
      <w:r w:rsidR="0042434E">
        <w:rPr>
          <w:sz w:val="20"/>
        </w:rPr>
        <w:t>07</w:t>
      </w:r>
      <w:r w:rsidRPr="00356AA1">
        <w:rPr>
          <w:sz w:val="20"/>
        </w:rPr>
        <w:t>.</w:t>
      </w:r>
      <w:r w:rsidRPr="00356AA1">
        <w:rPr>
          <w:sz w:val="20"/>
        </w:rPr>
        <w:tab/>
      </w:r>
      <w:r w:rsidRPr="00356AA1">
        <w:rPr>
          <w:b/>
          <w:sz w:val="20"/>
        </w:rPr>
        <w:t xml:space="preserve">Following the </w:t>
      </w:r>
      <w:r w:rsidR="00277A1F">
        <w:rPr>
          <w:b/>
          <w:sz w:val="20"/>
        </w:rPr>
        <w:t>Good Friday</w:t>
      </w:r>
      <w:r w:rsidR="006F031C">
        <w:rPr>
          <w:b/>
          <w:sz w:val="20"/>
        </w:rPr>
        <w:t xml:space="preserve"> </w:t>
      </w:r>
      <w:r w:rsidRPr="00356AA1">
        <w:rPr>
          <w:b/>
          <w:sz w:val="20"/>
        </w:rPr>
        <w:t>Agreement, the U</w:t>
      </w:r>
      <w:r w:rsidR="00277A1F">
        <w:rPr>
          <w:b/>
          <w:sz w:val="20"/>
        </w:rPr>
        <w:t xml:space="preserve">nited </w:t>
      </w:r>
      <w:r w:rsidRPr="00356AA1">
        <w:rPr>
          <w:b/>
          <w:sz w:val="20"/>
        </w:rPr>
        <w:t>K</w:t>
      </w:r>
      <w:r w:rsidR="00277A1F">
        <w:rPr>
          <w:b/>
          <w:sz w:val="20"/>
        </w:rPr>
        <w:t>ingdom</w:t>
      </w:r>
      <w:r w:rsidRPr="00356AA1">
        <w:rPr>
          <w:b/>
          <w:sz w:val="20"/>
        </w:rPr>
        <w:t xml:space="preserve"> has</w:t>
      </w:r>
      <w:r w:rsidR="00277A1F">
        <w:rPr>
          <w:b/>
          <w:sz w:val="20"/>
        </w:rPr>
        <w:t>,</w:t>
      </w:r>
      <w:r w:rsidRPr="00356AA1">
        <w:rPr>
          <w:b/>
          <w:sz w:val="20"/>
        </w:rPr>
        <w:t xml:space="preserve"> </w:t>
      </w:r>
      <w:r w:rsidR="00277A1F">
        <w:rPr>
          <w:b/>
          <w:sz w:val="20"/>
        </w:rPr>
        <w:t>by</w:t>
      </w:r>
      <w:r w:rsidRPr="00356AA1">
        <w:rPr>
          <w:b/>
          <w:sz w:val="20"/>
        </w:rPr>
        <w:t xml:space="preserve"> various ways and means</w:t>
      </w:r>
      <w:r w:rsidR="00277A1F">
        <w:rPr>
          <w:b/>
          <w:sz w:val="20"/>
        </w:rPr>
        <w:t>,</w:t>
      </w:r>
      <w:r w:rsidRPr="00356AA1">
        <w:rPr>
          <w:b/>
          <w:sz w:val="20"/>
        </w:rPr>
        <w:t xml:space="preserve"> attempted to address the legacy of the Troubles. </w:t>
      </w:r>
      <w:r w:rsidR="006D20DC">
        <w:rPr>
          <w:b/>
          <w:sz w:val="20"/>
        </w:rPr>
        <w:t>A</w:t>
      </w:r>
      <w:r w:rsidRPr="00356AA1">
        <w:rPr>
          <w:b/>
          <w:sz w:val="20"/>
        </w:rPr>
        <w:t>t the social level</w:t>
      </w:r>
      <w:r w:rsidR="00277A1F">
        <w:rPr>
          <w:b/>
          <w:sz w:val="20"/>
        </w:rPr>
        <w:t>,</w:t>
      </w:r>
      <w:r w:rsidRPr="00356AA1">
        <w:rPr>
          <w:b/>
          <w:sz w:val="20"/>
        </w:rPr>
        <w:t xml:space="preserve"> there is awareness of the fact </w:t>
      </w:r>
      <w:r w:rsidRPr="00356AA1">
        <w:rPr>
          <w:rFonts w:cs="Arial"/>
          <w:b/>
          <w:color w:val="000000"/>
          <w:sz w:val="20"/>
          <w:lang w:eastAsia="en-GB"/>
        </w:rPr>
        <w:t>that legacy issues impose huge burdens</w:t>
      </w:r>
      <w:r w:rsidR="009922A0">
        <w:rPr>
          <w:rFonts w:cs="Arial"/>
          <w:b/>
          <w:color w:val="000000"/>
          <w:sz w:val="20"/>
          <w:lang w:eastAsia="en-GB"/>
        </w:rPr>
        <w:t xml:space="preserve"> </w:t>
      </w:r>
      <w:r w:rsidRPr="00356AA1">
        <w:rPr>
          <w:rFonts w:cs="Arial"/>
          <w:b/>
          <w:color w:val="000000"/>
          <w:sz w:val="20"/>
          <w:lang w:eastAsia="en-GB"/>
        </w:rPr>
        <w:t>on relations between citizens and official institutions, and on institutions themselves. Agreement about the need to address the past</w:t>
      </w:r>
      <w:r w:rsidR="009922A0" w:rsidRPr="009922A0">
        <w:rPr>
          <w:rFonts w:cs="Arial"/>
          <w:b/>
          <w:color w:val="000000"/>
          <w:sz w:val="20"/>
          <w:lang w:eastAsia="en-GB"/>
        </w:rPr>
        <w:t xml:space="preserve"> </w:t>
      </w:r>
      <w:r w:rsidR="009922A0" w:rsidRPr="009B4C54">
        <w:rPr>
          <w:rFonts w:cs="Arial"/>
          <w:b/>
          <w:color w:val="000000"/>
          <w:sz w:val="20"/>
          <w:lang w:eastAsia="en-GB"/>
        </w:rPr>
        <w:t>has not</w:t>
      </w:r>
      <w:r w:rsidRPr="00356AA1">
        <w:rPr>
          <w:rFonts w:cs="Arial"/>
          <w:b/>
          <w:color w:val="000000"/>
          <w:sz w:val="20"/>
          <w:lang w:eastAsia="en-GB"/>
        </w:rPr>
        <w:t xml:space="preserve">, however, led to consensus about how to </w:t>
      </w:r>
      <w:r w:rsidR="009922A0">
        <w:rPr>
          <w:rFonts w:cs="Arial"/>
          <w:b/>
          <w:color w:val="000000"/>
          <w:sz w:val="20"/>
          <w:lang w:eastAsia="en-GB"/>
        </w:rPr>
        <w:t>go about</w:t>
      </w:r>
      <w:r w:rsidR="009922A0" w:rsidRPr="00356AA1">
        <w:rPr>
          <w:rFonts w:cs="Arial"/>
          <w:b/>
          <w:color w:val="000000"/>
          <w:sz w:val="20"/>
          <w:lang w:eastAsia="en-GB"/>
        </w:rPr>
        <w:t xml:space="preserve"> </w:t>
      </w:r>
      <w:r w:rsidRPr="00356AA1">
        <w:rPr>
          <w:rFonts w:cs="Arial"/>
          <w:b/>
          <w:color w:val="000000"/>
          <w:sz w:val="20"/>
          <w:lang w:eastAsia="en-GB"/>
        </w:rPr>
        <w:t>it.</w:t>
      </w:r>
      <w:r w:rsidR="00781044">
        <w:rPr>
          <w:rFonts w:cs="Arial"/>
          <w:b/>
          <w:color w:val="000000"/>
          <w:sz w:val="20"/>
          <w:lang w:eastAsia="en-GB"/>
        </w:rPr>
        <w:t xml:space="preserve"> </w:t>
      </w:r>
    </w:p>
    <w:p w:rsidR="00FF4737" w:rsidRPr="00356AA1" w:rsidRDefault="00836D61">
      <w:pPr>
        <w:pStyle w:val="SingleTxtG"/>
        <w:rPr>
          <w:rFonts w:cs="Arial"/>
          <w:b/>
          <w:color w:val="000000"/>
          <w:sz w:val="20"/>
          <w:lang w:eastAsia="en-GB"/>
        </w:rPr>
      </w:pPr>
      <w:r w:rsidRPr="00356AA1">
        <w:rPr>
          <w:rFonts w:cs="Arial"/>
          <w:color w:val="000000"/>
          <w:sz w:val="20"/>
          <w:lang w:eastAsia="en-GB"/>
        </w:rPr>
        <w:t>1</w:t>
      </w:r>
      <w:r w:rsidR="0042434E">
        <w:rPr>
          <w:rFonts w:cs="Arial"/>
          <w:color w:val="000000"/>
          <w:sz w:val="20"/>
          <w:lang w:eastAsia="en-GB"/>
        </w:rPr>
        <w:t>08</w:t>
      </w:r>
      <w:r w:rsidRPr="00356AA1">
        <w:rPr>
          <w:rFonts w:cs="Arial"/>
          <w:color w:val="000000"/>
          <w:sz w:val="20"/>
          <w:lang w:eastAsia="en-GB"/>
        </w:rPr>
        <w:t>.</w:t>
      </w:r>
      <w:r w:rsidRPr="00356AA1">
        <w:rPr>
          <w:rFonts w:cs="Arial"/>
          <w:b/>
          <w:color w:val="000000"/>
          <w:sz w:val="20"/>
          <w:lang w:eastAsia="en-GB"/>
        </w:rPr>
        <w:tab/>
        <w:t xml:space="preserve">Placing human rights at the core of the large dispensation, the </w:t>
      </w:r>
      <w:r w:rsidR="009922A0">
        <w:rPr>
          <w:rFonts w:cs="Arial"/>
          <w:b/>
          <w:color w:val="000000"/>
          <w:sz w:val="20"/>
          <w:lang w:eastAsia="en-GB"/>
        </w:rPr>
        <w:t>Good Friday</w:t>
      </w:r>
      <w:r w:rsidRPr="00356AA1">
        <w:rPr>
          <w:rFonts w:cs="Arial"/>
          <w:b/>
          <w:color w:val="000000"/>
          <w:sz w:val="20"/>
          <w:lang w:eastAsia="en-GB"/>
        </w:rPr>
        <w:t xml:space="preserve"> Agreement has been a crucial enabling condition of progress and a forward</w:t>
      </w:r>
      <w:r w:rsidR="009922A0">
        <w:rPr>
          <w:rFonts w:cs="Arial"/>
          <w:b/>
          <w:color w:val="000000"/>
          <w:sz w:val="20"/>
          <w:lang w:eastAsia="en-GB"/>
        </w:rPr>
        <w:t>-</w:t>
      </w:r>
      <w:r w:rsidRPr="00356AA1">
        <w:rPr>
          <w:rFonts w:cs="Arial"/>
          <w:b/>
          <w:color w:val="000000"/>
          <w:sz w:val="20"/>
          <w:lang w:eastAsia="en-GB"/>
        </w:rPr>
        <w:t xml:space="preserve">looking </w:t>
      </w:r>
      <w:r w:rsidR="009922A0">
        <w:rPr>
          <w:rFonts w:cs="Arial"/>
          <w:b/>
          <w:color w:val="000000"/>
          <w:sz w:val="20"/>
          <w:lang w:eastAsia="en-GB"/>
        </w:rPr>
        <w:t>accord</w:t>
      </w:r>
      <w:r w:rsidRPr="00356AA1">
        <w:rPr>
          <w:rFonts w:cs="Arial"/>
          <w:b/>
          <w:color w:val="000000"/>
          <w:sz w:val="20"/>
          <w:lang w:eastAsia="en-GB"/>
        </w:rPr>
        <w:t xml:space="preserve">. Unsurprisingly, its greatest successes </w:t>
      </w:r>
      <w:r w:rsidR="009922A0">
        <w:rPr>
          <w:rFonts w:cs="Arial"/>
          <w:b/>
          <w:color w:val="000000"/>
          <w:sz w:val="20"/>
          <w:lang w:eastAsia="en-GB"/>
        </w:rPr>
        <w:t xml:space="preserve">have </w:t>
      </w:r>
      <w:r w:rsidRPr="00356AA1">
        <w:rPr>
          <w:rFonts w:cs="Arial"/>
          <w:b/>
          <w:color w:val="000000"/>
          <w:sz w:val="20"/>
          <w:lang w:eastAsia="en-GB"/>
        </w:rPr>
        <w:t>c</w:t>
      </w:r>
      <w:r w:rsidR="009922A0">
        <w:rPr>
          <w:rFonts w:cs="Arial"/>
          <w:b/>
          <w:color w:val="000000"/>
          <w:sz w:val="20"/>
          <w:lang w:eastAsia="en-GB"/>
        </w:rPr>
        <w:t>o</w:t>
      </w:r>
      <w:r w:rsidRPr="00356AA1">
        <w:rPr>
          <w:rFonts w:cs="Arial"/>
          <w:b/>
          <w:color w:val="000000"/>
          <w:sz w:val="20"/>
          <w:lang w:eastAsia="en-GB"/>
        </w:rPr>
        <w:t xml:space="preserve">me in guarantees of non-recurrence. Even among its exemplary institutional reform initiatives, its </w:t>
      </w:r>
      <w:r w:rsidR="009922A0">
        <w:rPr>
          <w:rFonts w:cs="Arial"/>
          <w:b/>
          <w:color w:val="000000"/>
          <w:sz w:val="20"/>
          <w:lang w:eastAsia="en-GB"/>
        </w:rPr>
        <w:t>p</w:t>
      </w:r>
      <w:r w:rsidRPr="00356AA1">
        <w:rPr>
          <w:rFonts w:cs="Arial"/>
          <w:b/>
          <w:color w:val="000000"/>
          <w:sz w:val="20"/>
          <w:lang w:eastAsia="en-GB"/>
        </w:rPr>
        <w:t>olice reforms, a typically challenging area for countries transitioning out of conflict</w:t>
      </w:r>
      <w:r w:rsidR="009922A0">
        <w:rPr>
          <w:rFonts w:cs="Arial"/>
          <w:b/>
          <w:color w:val="000000"/>
          <w:sz w:val="20"/>
          <w:lang w:eastAsia="en-GB"/>
        </w:rPr>
        <w:t>,</w:t>
      </w:r>
      <w:r w:rsidR="009922A0" w:rsidRPr="009922A0">
        <w:rPr>
          <w:rFonts w:cs="Arial"/>
          <w:b/>
          <w:color w:val="000000"/>
          <w:sz w:val="20"/>
          <w:lang w:eastAsia="en-GB"/>
        </w:rPr>
        <w:t xml:space="preserve"> </w:t>
      </w:r>
      <w:r w:rsidR="009922A0" w:rsidRPr="00273473">
        <w:rPr>
          <w:rFonts w:cs="Arial"/>
          <w:b/>
          <w:color w:val="000000"/>
          <w:sz w:val="20"/>
          <w:lang w:eastAsia="en-GB"/>
        </w:rPr>
        <w:t>stand out</w:t>
      </w:r>
      <w:r w:rsidRPr="00356AA1">
        <w:rPr>
          <w:rFonts w:cs="Arial"/>
          <w:b/>
          <w:color w:val="000000"/>
          <w:sz w:val="20"/>
          <w:lang w:eastAsia="en-GB"/>
        </w:rPr>
        <w:t xml:space="preserve">. The process, involving </w:t>
      </w:r>
      <w:r w:rsidR="009922A0">
        <w:rPr>
          <w:rFonts w:cs="Arial"/>
          <w:b/>
          <w:color w:val="000000"/>
          <w:sz w:val="20"/>
          <w:lang w:eastAsia="en-GB"/>
        </w:rPr>
        <w:t xml:space="preserve">the </w:t>
      </w:r>
      <w:r w:rsidR="009922A0" w:rsidRPr="00D91A8D">
        <w:rPr>
          <w:rFonts w:cs="Arial"/>
          <w:b/>
          <w:color w:val="000000"/>
          <w:sz w:val="20"/>
          <w:lang w:eastAsia="en-GB"/>
        </w:rPr>
        <w:t>renewal</w:t>
      </w:r>
      <w:r w:rsidR="009922A0" w:rsidRPr="009922A0">
        <w:rPr>
          <w:rFonts w:cs="Arial"/>
          <w:b/>
          <w:color w:val="000000"/>
          <w:sz w:val="20"/>
          <w:lang w:eastAsia="en-GB"/>
        </w:rPr>
        <w:t xml:space="preserve"> </w:t>
      </w:r>
      <w:r w:rsidR="009922A0">
        <w:rPr>
          <w:rFonts w:cs="Arial"/>
          <w:b/>
          <w:color w:val="000000"/>
          <w:sz w:val="20"/>
          <w:lang w:eastAsia="en-GB"/>
        </w:rPr>
        <w:t xml:space="preserve">of </w:t>
      </w:r>
      <w:r w:rsidRPr="00356AA1">
        <w:rPr>
          <w:rFonts w:cs="Arial"/>
          <w:b/>
          <w:color w:val="000000"/>
          <w:sz w:val="20"/>
          <w:lang w:eastAsia="en-GB"/>
        </w:rPr>
        <w:t xml:space="preserve">personnel, a new policing model, </w:t>
      </w:r>
      <w:r w:rsidR="009922A0">
        <w:rPr>
          <w:rFonts w:cs="Arial"/>
          <w:b/>
          <w:color w:val="000000"/>
          <w:sz w:val="20"/>
          <w:lang w:eastAsia="en-GB"/>
        </w:rPr>
        <w:t xml:space="preserve">the establishment of </w:t>
      </w:r>
      <w:r w:rsidRPr="00356AA1">
        <w:rPr>
          <w:rFonts w:cs="Arial"/>
          <w:b/>
          <w:color w:val="000000"/>
          <w:sz w:val="20"/>
          <w:lang w:eastAsia="en-GB"/>
        </w:rPr>
        <w:t>independent oversight mechanisms (</w:t>
      </w:r>
      <w:r w:rsidR="009922A0">
        <w:rPr>
          <w:rFonts w:cs="Arial"/>
          <w:b/>
          <w:color w:val="000000"/>
          <w:sz w:val="20"/>
          <w:lang w:eastAsia="en-GB"/>
        </w:rPr>
        <w:t>such as the</w:t>
      </w:r>
      <w:r w:rsidRPr="00356AA1">
        <w:rPr>
          <w:rFonts w:cs="Arial"/>
          <w:b/>
          <w:color w:val="000000"/>
          <w:sz w:val="20"/>
          <w:lang w:eastAsia="en-GB"/>
        </w:rPr>
        <w:t xml:space="preserve"> Police Board and </w:t>
      </w:r>
      <w:r w:rsidR="009922A0">
        <w:rPr>
          <w:rFonts w:cs="Arial"/>
          <w:b/>
          <w:color w:val="000000"/>
          <w:sz w:val="20"/>
          <w:lang w:eastAsia="en-GB"/>
        </w:rPr>
        <w:t xml:space="preserve">the Office of the </w:t>
      </w:r>
      <w:r w:rsidRPr="00356AA1">
        <w:rPr>
          <w:rFonts w:cs="Arial"/>
          <w:b/>
          <w:color w:val="000000"/>
          <w:sz w:val="20"/>
          <w:lang w:eastAsia="en-GB"/>
        </w:rPr>
        <w:t>Ombudsman), establishing a human rights legal advis</w:t>
      </w:r>
      <w:r w:rsidR="009922A0">
        <w:rPr>
          <w:rFonts w:cs="Arial"/>
          <w:b/>
          <w:color w:val="000000"/>
          <w:sz w:val="20"/>
          <w:lang w:eastAsia="en-GB"/>
        </w:rPr>
        <w:t>e</w:t>
      </w:r>
      <w:r w:rsidRPr="00356AA1">
        <w:rPr>
          <w:rFonts w:cs="Arial"/>
          <w:b/>
          <w:color w:val="000000"/>
          <w:sz w:val="20"/>
          <w:lang w:eastAsia="en-GB"/>
        </w:rPr>
        <w:t>r with broad access within the P</w:t>
      </w:r>
      <w:r w:rsidR="009922A0">
        <w:rPr>
          <w:rFonts w:cs="Arial"/>
          <w:b/>
          <w:color w:val="000000"/>
          <w:sz w:val="20"/>
          <w:lang w:eastAsia="en-GB"/>
        </w:rPr>
        <w:t xml:space="preserve">olice </w:t>
      </w:r>
      <w:r w:rsidRPr="00356AA1">
        <w:rPr>
          <w:rFonts w:cs="Arial"/>
          <w:b/>
          <w:color w:val="000000"/>
          <w:sz w:val="20"/>
          <w:lang w:eastAsia="en-GB"/>
        </w:rPr>
        <w:t>S</w:t>
      </w:r>
      <w:r w:rsidR="009922A0">
        <w:rPr>
          <w:rFonts w:cs="Arial"/>
          <w:b/>
          <w:color w:val="000000"/>
          <w:sz w:val="20"/>
          <w:lang w:eastAsia="en-GB"/>
        </w:rPr>
        <w:t>ervice</w:t>
      </w:r>
      <w:r w:rsidRPr="00356AA1">
        <w:rPr>
          <w:rFonts w:cs="Arial"/>
          <w:b/>
          <w:color w:val="000000"/>
          <w:sz w:val="20"/>
          <w:lang w:eastAsia="en-GB"/>
        </w:rPr>
        <w:t xml:space="preserve">, and symbolic measures including changes in name, uniform and insignia, </w:t>
      </w:r>
      <w:r w:rsidR="009922A0">
        <w:rPr>
          <w:rFonts w:cs="Arial"/>
          <w:b/>
          <w:color w:val="000000"/>
          <w:sz w:val="20"/>
          <w:lang w:eastAsia="en-GB"/>
        </w:rPr>
        <w:t>have led to a profound</w:t>
      </w:r>
      <w:r w:rsidRPr="00356AA1">
        <w:rPr>
          <w:rFonts w:cs="Arial"/>
          <w:b/>
          <w:color w:val="000000"/>
          <w:sz w:val="20"/>
          <w:lang w:eastAsia="en-GB"/>
        </w:rPr>
        <w:t xml:space="preserve"> transformation in </w:t>
      </w:r>
      <w:r w:rsidR="009922A0">
        <w:rPr>
          <w:rFonts w:cs="Arial"/>
          <w:b/>
          <w:color w:val="000000"/>
          <w:sz w:val="20"/>
          <w:lang w:eastAsia="en-GB"/>
        </w:rPr>
        <w:t xml:space="preserve">the perceived </w:t>
      </w:r>
      <w:r w:rsidRPr="00356AA1">
        <w:rPr>
          <w:rFonts w:cs="Arial"/>
          <w:b/>
          <w:color w:val="000000"/>
          <w:sz w:val="20"/>
          <w:lang w:eastAsia="en-GB"/>
        </w:rPr>
        <w:t xml:space="preserve">trustworthiness of the force. </w:t>
      </w:r>
      <w:r w:rsidR="009922A0">
        <w:rPr>
          <w:rFonts w:cs="Arial"/>
          <w:b/>
          <w:color w:val="000000"/>
          <w:sz w:val="20"/>
          <w:lang w:eastAsia="en-GB"/>
        </w:rPr>
        <w:t xml:space="preserve">Such a </w:t>
      </w:r>
      <w:r w:rsidRPr="00356AA1">
        <w:rPr>
          <w:rFonts w:cs="Arial"/>
          <w:b/>
          <w:color w:val="000000"/>
          <w:sz w:val="20"/>
          <w:lang w:eastAsia="en-GB"/>
        </w:rPr>
        <w:t xml:space="preserve">collective achievement </w:t>
      </w:r>
      <w:r w:rsidR="009922A0">
        <w:rPr>
          <w:rFonts w:cs="Arial"/>
          <w:b/>
          <w:color w:val="000000"/>
          <w:sz w:val="20"/>
          <w:lang w:eastAsia="en-GB"/>
        </w:rPr>
        <w:t>should</w:t>
      </w:r>
      <w:r w:rsidRPr="00356AA1">
        <w:rPr>
          <w:rFonts w:cs="Arial"/>
          <w:b/>
          <w:color w:val="000000"/>
          <w:sz w:val="20"/>
          <w:lang w:eastAsia="en-GB"/>
        </w:rPr>
        <w:t xml:space="preserve"> be celebrated, and studied by other countries facing similar challenges.</w:t>
      </w:r>
      <w:r w:rsidR="00781044">
        <w:rPr>
          <w:rFonts w:cs="Arial"/>
          <w:b/>
          <w:color w:val="000000"/>
          <w:sz w:val="20"/>
          <w:lang w:eastAsia="en-GB"/>
        </w:rPr>
        <w:t xml:space="preserve"> </w:t>
      </w:r>
    </w:p>
    <w:p w:rsidR="00FF4737" w:rsidRPr="00356AA1" w:rsidRDefault="00836D61">
      <w:pPr>
        <w:pStyle w:val="SingleTxtG"/>
        <w:rPr>
          <w:rFonts w:cs="Arial"/>
          <w:b/>
          <w:i/>
          <w:color w:val="000000"/>
          <w:sz w:val="20"/>
          <w:lang w:eastAsia="en-GB"/>
        </w:rPr>
      </w:pPr>
      <w:r w:rsidRPr="00356AA1">
        <w:rPr>
          <w:rFonts w:cs="Arial"/>
          <w:color w:val="000000"/>
          <w:sz w:val="20"/>
          <w:lang w:eastAsia="en-GB"/>
        </w:rPr>
        <w:t>1</w:t>
      </w:r>
      <w:r w:rsidR="0042434E">
        <w:rPr>
          <w:rFonts w:cs="Arial"/>
          <w:color w:val="000000"/>
          <w:sz w:val="20"/>
          <w:lang w:eastAsia="en-GB"/>
        </w:rPr>
        <w:t>09</w:t>
      </w:r>
      <w:r w:rsidRPr="00356AA1">
        <w:rPr>
          <w:rFonts w:cs="Arial"/>
          <w:color w:val="000000"/>
          <w:sz w:val="20"/>
          <w:lang w:eastAsia="en-GB"/>
        </w:rPr>
        <w:t>.</w:t>
      </w:r>
      <w:r w:rsidRPr="00356AA1">
        <w:rPr>
          <w:rFonts w:cs="Arial"/>
          <w:b/>
          <w:color w:val="000000"/>
          <w:sz w:val="20"/>
          <w:lang w:eastAsia="en-GB"/>
        </w:rPr>
        <w:tab/>
        <w:t xml:space="preserve">While clear about its future vision, the </w:t>
      </w:r>
      <w:r w:rsidR="009922A0">
        <w:rPr>
          <w:rFonts w:cs="Arial"/>
          <w:b/>
          <w:color w:val="000000"/>
          <w:sz w:val="20"/>
          <w:lang w:eastAsia="en-GB"/>
        </w:rPr>
        <w:t>Good Friday</w:t>
      </w:r>
      <w:r w:rsidR="006F031C">
        <w:rPr>
          <w:rFonts w:cs="Arial"/>
          <w:b/>
          <w:color w:val="000000"/>
          <w:sz w:val="20"/>
          <w:lang w:eastAsia="en-GB"/>
        </w:rPr>
        <w:t xml:space="preserve"> </w:t>
      </w:r>
      <w:r w:rsidRPr="00356AA1">
        <w:rPr>
          <w:rFonts w:cs="Arial"/>
          <w:b/>
          <w:color w:val="000000"/>
          <w:sz w:val="20"/>
          <w:lang w:eastAsia="en-GB"/>
        </w:rPr>
        <w:t xml:space="preserve">Agreement was largely silent about how to address </w:t>
      </w:r>
      <w:r w:rsidR="009922A0">
        <w:rPr>
          <w:rFonts w:cs="Arial"/>
          <w:b/>
          <w:color w:val="000000"/>
          <w:sz w:val="20"/>
          <w:lang w:eastAsia="en-GB"/>
        </w:rPr>
        <w:t xml:space="preserve">the </w:t>
      </w:r>
      <w:r w:rsidRPr="00356AA1">
        <w:rPr>
          <w:rFonts w:cs="Arial"/>
          <w:b/>
          <w:color w:val="000000"/>
          <w:sz w:val="20"/>
          <w:lang w:eastAsia="en-GB"/>
        </w:rPr>
        <w:t>legac</w:t>
      </w:r>
      <w:r w:rsidR="009922A0">
        <w:rPr>
          <w:rFonts w:cs="Arial"/>
          <w:b/>
          <w:color w:val="000000"/>
          <w:sz w:val="20"/>
          <w:lang w:eastAsia="en-GB"/>
        </w:rPr>
        <w:t>y</w:t>
      </w:r>
      <w:r w:rsidRPr="00356AA1">
        <w:rPr>
          <w:rFonts w:cs="Arial"/>
          <w:b/>
          <w:color w:val="000000"/>
          <w:sz w:val="20"/>
          <w:lang w:eastAsia="en-GB"/>
        </w:rPr>
        <w:t xml:space="preserve"> of violations and abuses </w:t>
      </w:r>
      <w:r w:rsidR="009922A0">
        <w:rPr>
          <w:rFonts w:cs="Arial"/>
          <w:b/>
          <w:color w:val="000000"/>
          <w:sz w:val="20"/>
          <w:lang w:eastAsia="en-GB"/>
        </w:rPr>
        <w:t xml:space="preserve">committed </w:t>
      </w:r>
      <w:r w:rsidRPr="00356AA1">
        <w:rPr>
          <w:rFonts w:cs="Arial"/>
          <w:b/>
          <w:color w:val="000000"/>
          <w:sz w:val="20"/>
          <w:lang w:eastAsia="en-GB"/>
        </w:rPr>
        <w:t xml:space="preserve">during the Troubles. The ways that the past </w:t>
      </w:r>
      <w:r w:rsidR="009922A0">
        <w:rPr>
          <w:rFonts w:cs="Arial"/>
          <w:b/>
          <w:color w:val="000000"/>
          <w:sz w:val="20"/>
          <w:lang w:eastAsia="en-GB"/>
        </w:rPr>
        <w:t>still disrupts the country</w:t>
      </w:r>
      <w:r w:rsidRPr="00356AA1">
        <w:rPr>
          <w:rFonts w:cs="Arial"/>
          <w:b/>
          <w:color w:val="000000"/>
          <w:sz w:val="20"/>
          <w:lang w:eastAsia="en-GB"/>
        </w:rPr>
        <w:t xml:space="preserve">’s present demonstrate that it has not been properly and completely addressed, despite the multiplicity of initiatives undertaken in the areas of truth, justice and </w:t>
      </w:r>
      <w:r w:rsidR="009922A0">
        <w:rPr>
          <w:rFonts w:cs="Arial"/>
          <w:b/>
          <w:color w:val="000000"/>
          <w:sz w:val="20"/>
          <w:lang w:eastAsia="en-GB"/>
        </w:rPr>
        <w:t xml:space="preserve">– </w:t>
      </w:r>
      <w:r w:rsidRPr="00356AA1">
        <w:rPr>
          <w:rFonts w:cs="Arial"/>
          <w:b/>
          <w:color w:val="000000"/>
          <w:sz w:val="20"/>
          <w:lang w:eastAsia="en-GB"/>
        </w:rPr>
        <w:t>to a lesser degree</w:t>
      </w:r>
      <w:r w:rsidR="009922A0">
        <w:rPr>
          <w:rFonts w:cs="Arial"/>
          <w:b/>
          <w:color w:val="000000"/>
          <w:sz w:val="20"/>
          <w:lang w:eastAsia="en-GB"/>
        </w:rPr>
        <w:t xml:space="preserve"> –</w:t>
      </w:r>
      <w:r w:rsidRPr="00356AA1">
        <w:rPr>
          <w:rFonts w:cs="Arial"/>
          <w:b/>
          <w:color w:val="000000"/>
          <w:sz w:val="20"/>
          <w:lang w:eastAsia="en-GB"/>
        </w:rPr>
        <w:t xml:space="preserve"> reparations. </w:t>
      </w:r>
      <w:r w:rsidR="0097615D">
        <w:rPr>
          <w:rFonts w:cs="Arial"/>
          <w:b/>
          <w:color w:val="000000"/>
          <w:sz w:val="20"/>
          <w:lang w:eastAsia="en-GB"/>
        </w:rPr>
        <w:t xml:space="preserve">Available data </w:t>
      </w:r>
      <w:r w:rsidR="006F031C">
        <w:rPr>
          <w:rFonts w:cs="Arial"/>
          <w:b/>
          <w:color w:val="000000"/>
          <w:sz w:val="20"/>
          <w:lang w:eastAsia="en-GB"/>
        </w:rPr>
        <w:t xml:space="preserve">show </w:t>
      </w:r>
      <w:r w:rsidR="0097615D">
        <w:rPr>
          <w:rFonts w:cs="Arial"/>
          <w:b/>
          <w:color w:val="000000"/>
          <w:sz w:val="20"/>
          <w:lang w:eastAsia="en-GB"/>
        </w:rPr>
        <w:t>that t</w:t>
      </w:r>
      <w:r w:rsidRPr="00356AA1">
        <w:rPr>
          <w:rFonts w:cs="Arial"/>
          <w:b/>
          <w:color w:val="000000"/>
          <w:sz w:val="20"/>
          <w:lang w:eastAsia="en-GB"/>
        </w:rPr>
        <w:t>he criminal justice system</w:t>
      </w:r>
      <w:r w:rsidR="0097615D">
        <w:rPr>
          <w:rFonts w:cs="Arial"/>
          <w:b/>
          <w:color w:val="000000"/>
          <w:sz w:val="20"/>
          <w:lang w:eastAsia="en-GB"/>
        </w:rPr>
        <w:t xml:space="preserve"> has</w:t>
      </w:r>
      <w:r w:rsidRPr="00356AA1">
        <w:rPr>
          <w:rFonts w:cs="Arial"/>
          <w:b/>
          <w:color w:val="000000"/>
          <w:sz w:val="20"/>
          <w:lang w:eastAsia="en-GB"/>
        </w:rPr>
        <w:t xml:space="preserve"> </w:t>
      </w:r>
      <w:r w:rsidR="0097615D">
        <w:rPr>
          <w:rFonts w:cs="Arial"/>
          <w:b/>
          <w:color w:val="000000"/>
          <w:sz w:val="20"/>
          <w:lang w:eastAsia="en-GB"/>
        </w:rPr>
        <w:t>handled the cases of</w:t>
      </w:r>
      <w:r w:rsidRPr="00356AA1">
        <w:rPr>
          <w:rFonts w:cs="Arial"/>
          <w:b/>
          <w:color w:val="000000"/>
          <w:sz w:val="20"/>
          <w:lang w:eastAsia="en-GB"/>
        </w:rPr>
        <w:t xml:space="preserve"> </w:t>
      </w:r>
      <w:r w:rsidR="0097615D">
        <w:rPr>
          <w:rFonts w:cs="Arial"/>
          <w:b/>
          <w:color w:val="000000"/>
          <w:sz w:val="20"/>
          <w:lang w:eastAsia="en-GB"/>
        </w:rPr>
        <w:t>more than</w:t>
      </w:r>
      <w:r w:rsidRPr="00356AA1">
        <w:rPr>
          <w:rFonts w:cs="Arial"/>
          <w:b/>
          <w:color w:val="000000"/>
          <w:sz w:val="20"/>
          <w:lang w:eastAsia="en-GB"/>
        </w:rPr>
        <w:t xml:space="preserve"> 20,000 persons under different strategies, including detention without trial, juryless trials and various penitentiary policies, expressing a more general policy of </w:t>
      </w:r>
      <w:r w:rsidR="0097615D">
        <w:rPr>
          <w:rFonts w:cs="Arial"/>
          <w:b/>
          <w:color w:val="000000"/>
          <w:sz w:val="20"/>
          <w:lang w:eastAsia="en-GB"/>
        </w:rPr>
        <w:t>“</w:t>
      </w:r>
      <w:r w:rsidRPr="00356AA1">
        <w:rPr>
          <w:rFonts w:cs="Arial"/>
          <w:b/>
          <w:color w:val="000000"/>
          <w:sz w:val="20"/>
          <w:lang w:eastAsia="en-GB"/>
        </w:rPr>
        <w:t>criminalization</w:t>
      </w:r>
      <w:r w:rsidR="0097615D">
        <w:rPr>
          <w:rFonts w:cs="Arial"/>
          <w:b/>
          <w:color w:val="000000"/>
          <w:sz w:val="20"/>
          <w:lang w:eastAsia="en-GB"/>
        </w:rPr>
        <w:t>”</w:t>
      </w:r>
      <w:r w:rsidRPr="00356AA1">
        <w:rPr>
          <w:rFonts w:cs="Arial"/>
          <w:b/>
          <w:color w:val="000000"/>
          <w:sz w:val="20"/>
          <w:lang w:eastAsia="en-GB"/>
        </w:rPr>
        <w:t xml:space="preserve"> (some elements of which were never abandoned). </w:t>
      </w:r>
      <w:r w:rsidR="0097615D">
        <w:rPr>
          <w:rFonts w:cs="Arial"/>
          <w:b/>
          <w:color w:val="000000"/>
          <w:sz w:val="20"/>
          <w:lang w:eastAsia="en-GB"/>
        </w:rPr>
        <w:t>With r</w:t>
      </w:r>
      <w:r w:rsidRPr="00356AA1">
        <w:rPr>
          <w:rFonts w:cs="Arial"/>
          <w:b/>
          <w:color w:val="000000"/>
          <w:sz w:val="20"/>
          <w:lang w:eastAsia="en-GB"/>
        </w:rPr>
        <w:t xml:space="preserve">egard </w:t>
      </w:r>
      <w:r w:rsidR="0097615D">
        <w:rPr>
          <w:rFonts w:cs="Arial"/>
          <w:b/>
          <w:color w:val="000000"/>
          <w:sz w:val="20"/>
          <w:lang w:eastAsia="en-GB"/>
        </w:rPr>
        <w:t xml:space="preserve">to </w:t>
      </w:r>
      <w:r w:rsidRPr="00356AA1">
        <w:rPr>
          <w:rFonts w:cs="Arial"/>
          <w:b/>
          <w:color w:val="000000"/>
          <w:sz w:val="20"/>
          <w:lang w:eastAsia="en-GB"/>
        </w:rPr>
        <w:t xml:space="preserve">official truth-seeking, various institutional arrangements have been tried to </w:t>
      </w:r>
      <w:r w:rsidR="0097615D">
        <w:rPr>
          <w:rFonts w:cs="Arial"/>
          <w:b/>
          <w:color w:val="000000"/>
          <w:sz w:val="20"/>
          <w:lang w:eastAsia="en-GB"/>
        </w:rPr>
        <w:t xml:space="preserve">meet the </w:t>
      </w:r>
      <w:r w:rsidRPr="00356AA1">
        <w:rPr>
          <w:rFonts w:cs="Arial"/>
          <w:b/>
          <w:color w:val="000000"/>
          <w:sz w:val="20"/>
          <w:lang w:eastAsia="en-GB"/>
        </w:rPr>
        <w:t xml:space="preserve">persistent demands of victims, their families, and other sectors of society. These have included discrete efforts, </w:t>
      </w:r>
      <w:r w:rsidR="0097615D">
        <w:rPr>
          <w:rFonts w:cs="Arial"/>
          <w:b/>
          <w:color w:val="000000"/>
          <w:sz w:val="20"/>
          <w:lang w:eastAsia="en-GB"/>
        </w:rPr>
        <w:t xml:space="preserve">such as </w:t>
      </w:r>
      <w:r w:rsidRPr="00356AA1">
        <w:rPr>
          <w:rFonts w:cs="Arial"/>
          <w:b/>
          <w:color w:val="000000"/>
          <w:sz w:val="20"/>
          <w:lang w:eastAsia="en-GB"/>
        </w:rPr>
        <w:t>the Independent Commission for the Location of Victims’ Remains</w:t>
      </w:r>
      <w:r w:rsidR="0097615D">
        <w:rPr>
          <w:rFonts w:cs="Arial"/>
          <w:b/>
          <w:color w:val="000000"/>
          <w:sz w:val="20"/>
          <w:lang w:eastAsia="en-GB"/>
        </w:rPr>
        <w:t>;</w:t>
      </w:r>
      <w:r w:rsidRPr="00356AA1">
        <w:rPr>
          <w:rFonts w:cs="Arial"/>
          <w:b/>
          <w:color w:val="000000"/>
          <w:sz w:val="20"/>
          <w:lang w:eastAsia="en-GB"/>
        </w:rPr>
        <w:t xml:space="preserve"> broader ones, </w:t>
      </w:r>
      <w:r w:rsidR="0097615D">
        <w:rPr>
          <w:rFonts w:cs="Arial"/>
          <w:b/>
          <w:color w:val="000000"/>
          <w:sz w:val="20"/>
          <w:lang w:eastAsia="en-GB"/>
        </w:rPr>
        <w:t>such as c</w:t>
      </w:r>
      <w:r w:rsidRPr="00356AA1">
        <w:rPr>
          <w:rFonts w:cs="Arial"/>
          <w:b/>
          <w:color w:val="000000"/>
          <w:sz w:val="20"/>
          <w:lang w:eastAsia="en-GB"/>
        </w:rPr>
        <w:t xml:space="preserve">oroner </w:t>
      </w:r>
      <w:r w:rsidR="0097615D">
        <w:rPr>
          <w:rFonts w:cs="Arial"/>
          <w:b/>
          <w:color w:val="000000"/>
          <w:sz w:val="20"/>
          <w:lang w:eastAsia="en-GB"/>
        </w:rPr>
        <w:t>i</w:t>
      </w:r>
      <w:r w:rsidRPr="00356AA1">
        <w:rPr>
          <w:rFonts w:cs="Arial"/>
          <w:b/>
          <w:color w:val="000000"/>
          <w:sz w:val="20"/>
          <w:lang w:eastAsia="en-GB"/>
        </w:rPr>
        <w:t>nquests</w:t>
      </w:r>
      <w:r w:rsidR="0097615D">
        <w:rPr>
          <w:rFonts w:cs="Arial"/>
          <w:b/>
          <w:color w:val="000000"/>
          <w:sz w:val="20"/>
          <w:lang w:eastAsia="en-GB"/>
        </w:rPr>
        <w:t>;</w:t>
      </w:r>
      <w:r w:rsidRPr="00356AA1">
        <w:rPr>
          <w:rFonts w:cs="Arial"/>
          <w:b/>
          <w:color w:val="000000"/>
          <w:sz w:val="20"/>
          <w:lang w:eastAsia="en-GB"/>
        </w:rPr>
        <w:t xml:space="preserve"> and more ambitious projects</w:t>
      </w:r>
      <w:r w:rsidR="0097615D">
        <w:rPr>
          <w:rFonts w:cs="Arial"/>
          <w:b/>
          <w:color w:val="000000"/>
          <w:sz w:val="20"/>
          <w:lang w:eastAsia="en-GB"/>
        </w:rPr>
        <w:t>,</w:t>
      </w:r>
      <w:r w:rsidRPr="00356AA1">
        <w:rPr>
          <w:rFonts w:cs="Arial"/>
          <w:b/>
          <w:color w:val="000000"/>
          <w:sz w:val="20"/>
          <w:lang w:eastAsia="en-GB"/>
        </w:rPr>
        <w:t xml:space="preserve"> such as the legacy work of the </w:t>
      </w:r>
      <w:r w:rsidR="0097615D" w:rsidRPr="00356AA1">
        <w:rPr>
          <w:b/>
          <w:sz w:val="20"/>
          <w:lang w:eastAsia="en-GB"/>
        </w:rPr>
        <w:t>Office of the Police Ombudsman in Northern Ireland</w:t>
      </w:r>
      <w:r w:rsidRPr="00356AA1">
        <w:rPr>
          <w:rFonts w:cs="Arial"/>
          <w:b/>
          <w:color w:val="000000"/>
          <w:sz w:val="20"/>
          <w:lang w:eastAsia="en-GB"/>
        </w:rPr>
        <w:t xml:space="preserve">, the HET, and </w:t>
      </w:r>
      <w:r w:rsidR="0097615D">
        <w:rPr>
          <w:rFonts w:cs="Arial"/>
          <w:b/>
          <w:color w:val="000000"/>
          <w:sz w:val="20"/>
          <w:lang w:eastAsia="en-GB"/>
        </w:rPr>
        <w:t>p</w:t>
      </w:r>
      <w:r w:rsidRPr="00356AA1">
        <w:rPr>
          <w:rFonts w:cs="Arial"/>
          <w:b/>
          <w:color w:val="000000"/>
          <w:sz w:val="20"/>
          <w:lang w:eastAsia="en-GB"/>
        </w:rPr>
        <w:t xml:space="preserve">ublic </w:t>
      </w:r>
      <w:r w:rsidR="0097615D">
        <w:rPr>
          <w:rFonts w:cs="Arial"/>
          <w:b/>
          <w:color w:val="000000"/>
          <w:sz w:val="20"/>
          <w:lang w:eastAsia="en-GB"/>
        </w:rPr>
        <w:t>i</w:t>
      </w:r>
      <w:r w:rsidRPr="00356AA1">
        <w:rPr>
          <w:rFonts w:cs="Arial"/>
          <w:b/>
          <w:color w:val="000000"/>
          <w:sz w:val="20"/>
          <w:lang w:eastAsia="en-GB"/>
        </w:rPr>
        <w:t xml:space="preserve">nquiries. Resources, quite large in absolute terms, have been mobilized to provide </w:t>
      </w:r>
      <w:r w:rsidR="0097615D" w:rsidRPr="005C1DAA">
        <w:rPr>
          <w:rFonts w:cs="Arial"/>
          <w:b/>
          <w:color w:val="000000"/>
          <w:sz w:val="20"/>
          <w:lang w:eastAsia="en-GB"/>
        </w:rPr>
        <w:t>victims</w:t>
      </w:r>
      <w:r w:rsidR="0097615D" w:rsidRPr="0097615D">
        <w:rPr>
          <w:rFonts w:cs="Arial"/>
          <w:b/>
          <w:color w:val="000000"/>
          <w:sz w:val="20"/>
          <w:lang w:eastAsia="en-GB"/>
        </w:rPr>
        <w:t xml:space="preserve"> </w:t>
      </w:r>
      <w:r w:rsidR="0097615D">
        <w:rPr>
          <w:rFonts w:cs="Arial"/>
          <w:b/>
          <w:color w:val="000000"/>
          <w:sz w:val="20"/>
          <w:lang w:eastAsia="en-GB"/>
        </w:rPr>
        <w:t xml:space="preserve">with </w:t>
      </w:r>
      <w:r w:rsidRPr="00356AA1">
        <w:rPr>
          <w:rFonts w:cs="Arial"/>
          <w:b/>
          <w:color w:val="000000"/>
          <w:sz w:val="20"/>
          <w:lang w:eastAsia="en-GB"/>
        </w:rPr>
        <w:t xml:space="preserve">some benefits, although the amounts </w:t>
      </w:r>
      <w:r w:rsidR="0097615D">
        <w:rPr>
          <w:rFonts w:cs="Arial"/>
          <w:b/>
          <w:color w:val="000000"/>
          <w:sz w:val="20"/>
          <w:lang w:eastAsia="en-GB"/>
        </w:rPr>
        <w:t xml:space="preserve">involved </w:t>
      </w:r>
      <w:r w:rsidRPr="00356AA1">
        <w:rPr>
          <w:rFonts w:cs="Arial"/>
          <w:b/>
          <w:color w:val="000000"/>
          <w:sz w:val="20"/>
          <w:lang w:eastAsia="en-GB"/>
        </w:rPr>
        <w:t>are relative</w:t>
      </w:r>
      <w:r w:rsidR="0097615D">
        <w:rPr>
          <w:rFonts w:cs="Arial"/>
          <w:b/>
          <w:color w:val="000000"/>
          <w:sz w:val="20"/>
          <w:lang w:eastAsia="en-GB"/>
        </w:rPr>
        <w:t>ly modest when considering</w:t>
      </w:r>
      <w:r w:rsidRPr="00356AA1">
        <w:rPr>
          <w:rFonts w:cs="Arial"/>
          <w:b/>
          <w:color w:val="000000"/>
          <w:sz w:val="20"/>
          <w:lang w:eastAsia="en-GB"/>
        </w:rPr>
        <w:t xml:space="preserve"> the number of potential beneficiaries. Furthermore, there seems to be a lack of clarity about the preconditions of reparation, which cannot be reduced to mere compensation or </w:t>
      </w:r>
      <w:r w:rsidR="0097615D" w:rsidRPr="00250401">
        <w:rPr>
          <w:rFonts w:cs="Arial"/>
          <w:b/>
          <w:color w:val="000000"/>
          <w:sz w:val="20"/>
          <w:lang w:eastAsia="en-GB"/>
        </w:rPr>
        <w:t>provision</w:t>
      </w:r>
      <w:r w:rsidR="0097615D" w:rsidRPr="0097615D">
        <w:rPr>
          <w:rFonts w:cs="Arial"/>
          <w:b/>
          <w:color w:val="000000"/>
          <w:sz w:val="20"/>
          <w:lang w:eastAsia="en-GB"/>
        </w:rPr>
        <w:t xml:space="preserve"> </w:t>
      </w:r>
      <w:r w:rsidR="0097615D">
        <w:rPr>
          <w:rFonts w:cs="Arial"/>
          <w:b/>
          <w:color w:val="000000"/>
          <w:sz w:val="20"/>
          <w:lang w:eastAsia="en-GB"/>
        </w:rPr>
        <w:t xml:space="preserve">of a </w:t>
      </w:r>
      <w:r w:rsidRPr="00356AA1">
        <w:rPr>
          <w:rFonts w:cs="Arial"/>
          <w:b/>
          <w:color w:val="000000"/>
          <w:sz w:val="20"/>
          <w:lang w:eastAsia="en-GB"/>
        </w:rPr>
        <w:t>service</w:t>
      </w:r>
      <w:r w:rsidR="006F031C">
        <w:rPr>
          <w:rFonts w:cs="Arial"/>
          <w:b/>
          <w:color w:val="000000"/>
          <w:sz w:val="20"/>
          <w:lang w:eastAsia="en-GB"/>
        </w:rPr>
        <w:t>, but call for an acknowledgement of responsibility</w:t>
      </w:r>
      <w:r w:rsidRPr="00356AA1">
        <w:rPr>
          <w:rFonts w:cs="Arial"/>
          <w:b/>
          <w:color w:val="000000"/>
          <w:sz w:val="20"/>
          <w:lang w:eastAsia="en-GB"/>
        </w:rPr>
        <w:t>.</w:t>
      </w:r>
      <w:r w:rsidR="00781044">
        <w:rPr>
          <w:rFonts w:cs="Arial"/>
          <w:b/>
          <w:color w:val="000000"/>
          <w:sz w:val="20"/>
          <w:lang w:eastAsia="en-GB"/>
        </w:rPr>
        <w:t xml:space="preserve"> </w:t>
      </w:r>
    </w:p>
    <w:p w:rsidR="00FF4737" w:rsidRPr="00356AA1" w:rsidRDefault="00836D61">
      <w:pPr>
        <w:pStyle w:val="SingleTxtG"/>
        <w:rPr>
          <w:rFonts w:cs="Arial"/>
          <w:b/>
          <w:color w:val="000000"/>
          <w:sz w:val="20"/>
          <w:lang w:eastAsia="en-GB"/>
        </w:rPr>
      </w:pPr>
      <w:r w:rsidRPr="00356AA1">
        <w:rPr>
          <w:rFonts w:cs="Arial"/>
          <w:color w:val="000000"/>
          <w:sz w:val="20"/>
          <w:lang w:eastAsia="en-GB"/>
        </w:rPr>
        <w:lastRenderedPageBreak/>
        <w:t>11</w:t>
      </w:r>
      <w:r w:rsidR="0042434E">
        <w:rPr>
          <w:rFonts w:cs="Arial"/>
          <w:color w:val="000000"/>
          <w:sz w:val="20"/>
          <w:lang w:eastAsia="en-GB"/>
        </w:rPr>
        <w:t>0</w:t>
      </w:r>
      <w:r w:rsidRPr="00356AA1">
        <w:rPr>
          <w:rFonts w:cs="Arial"/>
          <w:color w:val="000000"/>
          <w:sz w:val="20"/>
          <w:lang w:eastAsia="en-GB"/>
        </w:rPr>
        <w:t>.</w:t>
      </w:r>
      <w:r w:rsidRPr="00356AA1">
        <w:rPr>
          <w:rFonts w:cs="Arial"/>
          <w:b/>
          <w:color w:val="000000"/>
          <w:sz w:val="20"/>
          <w:lang w:eastAsia="en-GB"/>
        </w:rPr>
        <w:tab/>
      </w:r>
      <w:r w:rsidR="0097615D">
        <w:rPr>
          <w:rFonts w:cs="Arial"/>
          <w:b/>
          <w:color w:val="000000"/>
          <w:sz w:val="20"/>
          <w:lang w:eastAsia="en-GB"/>
        </w:rPr>
        <w:t>C</w:t>
      </w:r>
      <w:r w:rsidRPr="00356AA1">
        <w:rPr>
          <w:rFonts w:cs="Arial"/>
          <w:b/>
          <w:color w:val="000000"/>
          <w:sz w:val="20"/>
          <w:lang w:eastAsia="en-GB"/>
        </w:rPr>
        <w:t>onsider</w:t>
      </w:r>
      <w:r w:rsidR="0097615D">
        <w:rPr>
          <w:rFonts w:cs="Arial"/>
          <w:b/>
          <w:color w:val="000000"/>
          <w:sz w:val="20"/>
          <w:lang w:eastAsia="en-GB"/>
        </w:rPr>
        <w:t>ing the</w:t>
      </w:r>
      <w:r w:rsidRPr="00356AA1">
        <w:rPr>
          <w:rFonts w:cs="Arial"/>
          <w:b/>
          <w:color w:val="000000"/>
          <w:sz w:val="20"/>
          <w:lang w:eastAsia="en-GB"/>
        </w:rPr>
        <w:t xml:space="preserve"> possible reasons </w:t>
      </w:r>
      <w:r w:rsidR="0097615D">
        <w:rPr>
          <w:rFonts w:cs="Arial"/>
          <w:b/>
          <w:color w:val="000000"/>
          <w:sz w:val="20"/>
          <w:lang w:eastAsia="en-GB"/>
        </w:rPr>
        <w:t xml:space="preserve">for the </w:t>
      </w:r>
      <w:r w:rsidRPr="00356AA1">
        <w:rPr>
          <w:rFonts w:cs="Arial"/>
          <w:b/>
          <w:color w:val="000000"/>
          <w:sz w:val="20"/>
          <w:lang w:eastAsia="en-GB"/>
        </w:rPr>
        <w:t xml:space="preserve">success of future-oriented measures, and the challenges </w:t>
      </w:r>
      <w:r w:rsidR="0097615D">
        <w:rPr>
          <w:rFonts w:cs="Arial"/>
          <w:b/>
          <w:color w:val="000000"/>
          <w:sz w:val="20"/>
          <w:lang w:eastAsia="en-GB"/>
        </w:rPr>
        <w:t xml:space="preserve">to </w:t>
      </w:r>
      <w:r w:rsidRPr="00356AA1">
        <w:rPr>
          <w:rFonts w:cs="Arial"/>
          <w:b/>
          <w:color w:val="000000"/>
          <w:sz w:val="20"/>
          <w:lang w:eastAsia="en-GB"/>
        </w:rPr>
        <w:t xml:space="preserve">measures explicitly </w:t>
      </w:r>
      <w:r w:rsidR="0097615D">
        <w:rPr>
          <w:rFonts w:cs="Arial"/>
          <w:b/>
          <w:color w:val="000000"/>
          <w:sz w:val="20"/>
          <w:lang w:eastAsia="en-GB"/>
        </w:rPr>
        <w:t>intended</w:t>
      </w:r>
      <w:r w:rsidRPr="00356AA1">
        <w:rPr>
          <w:rFonts w:cs="Arial"/>
          <w:b/>
          <w:color w:val="000000"/>
          <w:sz w:val="20"/>
          <w:lang w:eastAsia="en-GB"/>
        </w:rPr>
        <w:t xml:space="preserve"> to redress past violations and abuses</w:t>
      </w:r>
      <w:r w:rsidR="0097615D">
        <w:rPr>
          <w:rFonts w:cs="Arial"/>
          <w:b/>
          <w:color w:val="000000"/>
          <w:sz w:val="20"/>
          <w:lang w:eastAsia="en-GB"/>
        </w:rPr>
        <w:t>,</w:t>
      </w:r>
      <w:r w:rsidR="0097615D" w:rsidRPr="00255F94">
        <w:rPr>
          <w:rFonts w:cs="Arial"/>
          <w:b/>
          <w:color w:val="000000"/>
          <w:sz w:val="20"/>
          <w:lang w:eastAsia="en-GB"/>
        </w:rPr>
        <w:t xml:space="preserve"> is revealing</w:t>
      </w:r>
      <w:r w:rsidRPr="00356AA1">
        <w:rPr>
          <w:rFonts w:cs="Arial"/>
          <w:b/>
          <w:color w:val="000000"/>
          <w:sz w:val="20"/>
          <w:lang w:eastAsia="en-GB"/>
        </w:rPr>
        <w:t xml:space="preserve">. </w:t>
      </w:r>
      <w:r w:rsidR="00CC2F54" w:rsidRPr="00356AA1">
        <w:rPr>
          <w:b/>
          <w:sz w:val="20"/>
        </w:rPr>
        <w:t>Northern Ireland</w:t>
      </w:r>
      <w:r w:rsidR="00A217A5" w:rsidRPr="00356AA1">
        <w:rPr>
          <w:sz w:val="20"/>
        </w:rPr>
        <w:t xml:space="preserve"> </w:t>
      </w:r>
      <w:r w:rsidRPr="00356AA1">
        <w:rPr>
          <w:rFonts w:cs="Arial"/>
          <w:b/>
          <w:color w:val="000000"/>
          <w:sz w:val="20"/>
          <w:lang w:eastAsia="en-GB"/>
        </w:rPr>
        <w:t xml:space="preserve">is in some respects an auspicious environment for </w:t>
      </w:r>
      <w:r w:rsidR="0097615D">
        <w:rPr>
          <w:rFonts w:cs="Arial"/>
          <w:b/>
          <w:color w:val="000000"/>
          <w:sz w:val="20"/>
          <w:lang w:eastAsia="en-GB"/>
        </w:rPr>
        <w:t>addressing</w:t>
      </w:r>
      <w:r w:rsidRPr="00356AA1">
        <w:rPr>
          <w:rFonts w:cs="Arial"/>
          <w:b/>
          <w:color w:val="000000"/>
          <w:sz w:val="20"/>
          <w:lang w:eastAsia="en-GB"/>
        </w:rPr>
        <w:t xml:space="preserve"> the past</w:t>
      </w:r>
      <w:r w:rsidR="0097615D">
        <w:rPr>
          <w:rFonts w:cs="Arial"/>
          <w:b/>
          <w:color w:val="000000"/>
          <w:sz w:val="20"/>
          <w:lang w:eastAsia="en-GB"/>
        </w:rPr>
        <w:t>:</w:t>
      </w:r>
      <w:r w:rsidR="00781044">
        <w:rPr>
          <w:rFonts w:cs="Arial"/>
          <w:b/>
          <w:color w:val="000000"/>
          <w:sz w:val="20"/>
          <w:lang w:eastAsia="en-GB"/>
        </w:rPr>
        <w:t xml:space="preserve"> </w:t>
      </w:r>
      <w:r w:rsidR="0097615D">
        <w:rPr>
          <w:rFonts w:cs="Arial"/>
          <w:b/>
          <w:color w:val="000000"/>
          <w:sz w:val="20"/>
          <w:lang w:eastAsia="en-GB"/>
        </w:rPr>
        <w:t>i</w:t>
      </w:r>
      <w:r w:rsidRPr="00356AA1">
        <w:rPr>
          <w:rFonts w:cs="Arial"/>
          <w:b/>
          <w:color w:val="000000"/>
          <w:sz w:val="20"/>
          <w:lang w:eastAsia="en-GB"/>
        </w:rPr>
        <w:t xml:space="preserve">t is part of a well-established, affluent democracy, with strong institutions, both generally and in the area of human rights (including the </w:t>
      </w:r>
      <w:r w:rsidR="0097615D">
        <w:rPr>
          <w:rFonts w:cs="Arial"/>
          <w:b/>
          <w:color w:val="000000"/>
          <w:sz w:val="20"/>
          <w:lang w:eastAsia="en-GB"/>
        </w:rPr>
        <w:t>Northern Ireland Human Rights Commission</w:t>
      </w:r>
      <w:r w:rsidRPr="00356AA1">
        <w:rPr>
          <w:rFonts w:cs="Arial"/>
          <w:b/>
          <w:color w:val="000000"/>
          <w:sz w:val="20"/>
          <w:lang w:eastAsia="en-GB"/>
        </w:rPr>
        <w:t xml:space="preserve">), and is proud of its culture of respect for human rights and the rule of law. Furthermore, </w:t>
      </w:r>
      <w:r w:rsidR="0097615D">
        <w:rPr>
          <w:b/>
          <w:sz w:val="20"/>
        </w:rPr>
        <w:t>it</w:t>
      </w:r>
      <w:r w:rsidR="00CE5AF1" w:rsidRPr="00356AA1">
        <w:rPr>
          <w:sz w:val="20"/>
        </w:rPr>
        <w:t xml:space="preserve"> </w:t>
      </w:r>
      <w:r w:rsidRPr="00356AA1">
        <w:rPr>
          <w:rFonts w:cs="Arial"/>
          <w:b/>
          <w:color w:val="000000"/>
          <w:sz w:val="20"/>
          <w:lang w:eastAsia="en-GB"/>
        </w:rPr>
        <w:t>has a strong civil society and extraordinary expertise on transitional justice</w:t>
      </w:r>
      <w:r w:rsidR="00F85B8A">
        <w:rPr>
          <w:rFonts w:cs="Arial"/>
          <w:b/>
          <w:color w:val="000000"/>
          <w:sz w:val="20"/>
          <w:lang w:eastAsia="en-GB"/>
        </w:rPr>
        <w:t xml:space="preserve"> </w:t>
      </w:r>
      <w:r w:rsidR="00F85B8A" w:rsidRPr="00367BFB">
        <w:rPr>
          <w:rFonts w:cs="Arial"/>
          <w:b/>
          <w:color w:val="000000"/>
          <w:sz w:val="20"/>
          <w:lang w:eastAsia="en-GB"/>
        </w:rPr>
        <w:t>(</w:t>
      </w:r>
      <w:r w:rsidR="00F85B8A">
        <w:rPr>
          <w:rFonts w:cs="Arial"/>
          <w:b/>
          <w:color w:val="000000"/>
          <w:sz w:val="20"/>
          <w:lang w:eastAsia="en-GB"/>
        </w:rPr>
        <w:t xml:space="preserve">largely </w:t>
      </w:r>
      <w:r w:rsidR="00F85B8A" w:rsidRPr="00367BFB">
        <w:rPr>
          <w:rFonts w:cs="Arial"/>
          <w:b/>
          <w:color w:val="000000"/>
          <w:sz w:val="20"/>
          <w:lang w:eastAsia="en-GB"/>
        </w:rPr>
        <w:t>underutilized by official institutions)</w:t>
      </w:r>
      <w:r w:rsidRPr="00356AA1">
        <w:rPr>
          <w:rFonts w:cs="Arial"/>
          <w:b/>
          <w:color w:val="000000"/>
          <w:sz w:val="20"/>
          <w:lang w:eastAsia="en-GB"/>
        </w:rPr>
        <w:t xml:space="preserve"> among both academics and practitioners. </w:t>
      </w:r>
    </w:p>
    <w:p w:rsidR="00FF4737" w:rsidRPr="00356AA1" w:rsidRDefault="00836D61">
      <w:pPr>
        <w:pStyle w:val="SingleTxtG"/>
        <w:rPr>
          <w:b/>
          <w:color w:val="000000"/>
          <w:sz w:val="20"/>
          <w:shd w:val="clear" w:color="auto" w:fill="FFFFFF"/>
        </w:rPr>
      </w:pPr>
      <w:r w:rsidRPr="00356AA1">
        <w:rPr>
          <w:rFonts w:cs="Arial"/>
          <w:color w:val="000000"/>
          <w:sz w:val="20"/>
          <w:lang w:eastAsia="en-GB"/>
        </w:rPr>
        <w:t>11</w:t>
      </w:r>
      <w:r w:rsidR="0042434E">
        <w:rPr>
          <w:rFonts w:cs="Arial"/>
          <w:color w:val="000000"/>
          <w:sz w:val="20"/>
          <w:lang w:eastAsia="en-GB"/>
        </w:rPr>
        <w:t>1</w:t>
      </w:r>
      <w:r w:rsidRPr="00356AA1">
        <w:rPr>
          <w:rFonts w:cs="Arial"/>
          <w:color w:val="000000"/>
          <w:sz w:val="20"/>
          <w:lang w:eastAsia="en-GB"/>
        </w:rPr>
        <w:t>.</w:t>
      </w:r>
      <w:r w:rsidRPr="00356AA1">
        <w:rPr>
          <w:rFonts w:cs="Arial"/>
          <w:b/>
          <w:color w:val="000000"/>
          <w:sz w:val="20"/>
          <w:lang w:eastAsia="en-GB"/>
        </w:rPr>
        <w:tab/>
        <w:t>Despite these positive factors, “more work needs to be done to resolve the challenging legacy of [the] past”.</w:t>
      </w:r>
      <w:r w:rsidRPr="00356AA1">
        <w:rPr>
          <w:rStyle w:val="FootnoteReference"/>
          <w:rFonts w:cs="Arial"/>
          <w:color w:val="000000"/>
          <w:szCs w:val="18"/>
          <w:lang w:eastAsia="en-GB"/>
        </w:rPr>
        <w:footnoteReference w:id="31"/>
      </w:r>
      <w:r w:rsidRPr="00356AA1">
        <w:rPr>
          <w:rFonts w:cs="Arial"/>
          <w:b/>
          <w:color w:val="000000"/>
          <w:sz w:val="20"/>
          <w:lang w:eastAsia="en-GB"/>
        </w:rPr>
        <w:t xml:space="preserve"> </w:t>
      </w:r>
      <w:r w:rsidR="00007756">
        <w:rPr>
          <w:rFonts w:cs="Arial"/>
          <w:b/>
          <w:color w:val="000000"/>
          <w:sz w:val="20"/>
          <w:lang w:eastAsia="en-GB"/>
        </w:rPr>
        <w:t>In the present</w:t>
      </w:r>
      <w:r w:rsidRPr="00356AA1">
        <w:rPr>
          <w:rFonts w:cs="Arial"/>
          <w:b/>
          <w:color w:val="000000"/>
          <w:sz w:val="20"/>
          <w:lang w:eastAsia="en-GB"/>
        </w:rPr>
        <w:t xml:space="preserve"> report</w:t>
      </w:r>
      <w:r w:rsidR="00007756">
        <w:rPr>
          <w:rFonts w:cs="Arial"/>
          <w:b/>
          <w:color w:val="000000"/>
          <w:sz w:val="20"/>
          <w:lang w:eastAsia="en-GB"/>
        </w:rPr>
        <w:t>, the Special Rapporteur</w:t>
      </w:r>
      <w:r w:rsidRPr="00356AA1">
        <w:rPr>
          <w:rFonts w:cs="Arial"/>
          <w:b/>
          <w:color w:val="000000"/>
          <w:sz w:val="20"/>
          <w:lang w:eastAsia="en-GB"/>
        </w:rPr>
        <w:t xml:space="preserve"> has identified some technical shortcomings in truth, justice and reparations efforts</w:t>
      </w:r>
      <w:r w:rsidR="00007756">
        <w:rPr>
          <w:rFonts w:cs="Arial"/>
          <w:b/>
          <w:color w:val="000000"/>
          <w:sz w:val="20"/>
          <w:lang w:eastAsia="en-GB"/>
        </w:rPr>
        <w:t>.</w:t>
      </w:r>
      <w:r w:rsidRPr="00356AA1">
        <w:rPr>
          <w:rFonts w:cs="Arial"/>
          <w:b/>
          <w:color w:val="000000"/>
          <w:sz w:val="20"/>
          <w:lang w:eastAsia="en-GB"/>
        </w:rPr>
        <w:t xml:space="preserve"> First, most efforts have been event-based, </w:t>
      </w:r>
      <w:r w:rsidR="00007756">
        <w:rPr>
          <w:rFonts w:cs="Arial"/>
          <w:b/>
          <w:color w:val="000000"/>
          <w:sz w:val="20"/>
          <w:lang w:eastAsia="en-GB"/>
        </w:rPr>
        <w:t>directed at</w:t>
      </w:r>
      <w:r w:rsidRPr="00356AA1">
        <w:rPr>
          <w:rFonts w:cs="Arial"/>
          <w:b/>
          <w:color w:val="000000"/>
          <w:sz w:val="20"/>
          <w:lang w:eastAsia="en-GB"/>
        </w:rPr>
        <w:t xml:space="preserve"> individual cases. It is critical, however, to </w:t>
      </w:r>
      <w:r w:rsidR="00007756">
        <w:rPr>
          <w:rFonts w:cs="Arial"/>
          <w:b/>
          <w:color w:val="000000"/>
          <w:sz w:val="20"/>
          <w:lang w:eastAsia="en-GB"/>
        </w:rPr>
        <w:t>direct</w:t>
      </w:r>
      <w:r w:rsidRPr="00356AA1">
        <w:rPr>
          <w:rFonts w:cs="Arial"/>
          <w:b/>
          <w:color w:val="000000"/>
          <w:sz w:val="20"/>
          <w:lang w:eastAsia="en-GB"/>
        </w:rPr>
        <w:t xml:space="preserve"> attention to instruments that may capture the more </w:t>
      </w:r>
      <w:r w:rsidR="00007756">
        <w:rPr>
          <w:rFonts w:cs="Arial"/>
          <w:b/>
          <w:color w:val="000000"/>
          <w:sz w:val="20"/>
          <w:lang w:eastAsia="en-GB"/>
        </w:rPr>
        <w:t>“</w:t>
      </w:r>
      <w:r w:rsidRPr="00356AA1">
        <w:rPr>
          <w:rFonts w:cs="Arial"/>
          <w:b/>
          <w:color w:val="000000"/>
          <w:sz w:val="20"/>
          <w:lang w:eastAsia="en-GB"/>
        </w:rPr>
        <w:t>structural</w:t>
      </w:r>
      <w:r w:rsidR="00007756">
        <w:rPr>
          <w:rFonts w:cs="Arial"/>
          <w:b/>
          <w:color w:val="000000"/>
          <w:sz w:val="20"/>
          <w:lang w:eastAsia="en-GB"/>
        </w:rPr>
        <w:t>”</w:t>
      </w:r>
      <w:r w:rsidRPr="00356AA1">
        <w:rPr>
          <w:rFonts w:cs="Arial"/>
          <w:b/>
          <w:color w:val="000000"/>
          <w:sz w:val="20"/>
          <w:lang w:eastAsia="en-GB"/>
        </w:rPr>
        <w:t xml:space="preserve"> dimension of violations and abuses</w:t>
      </w:r>
      <w:r w:rsidR="00007756">
        <w:rPr>
          <w:rFonts w:cs="Arial"/>
          <w:b/>
          <w:color w:val="000000"/>
          <w:sz w:val="20"/>
          <w:lang w:eastAsia="en-GB"/>
        </w:rPr>
        <w:t>,</w:t>
      </w:r>
      <w:r w:rsidRPr="00356AA1">
        <w:rPr>
          <w:rFonts w:cs="Arial"/>
          <w:b/>
          <w:color w:val="000000"/>
          <w:sz w:val="20"/>
          <w:lang w:eastAsia="en-GB"/>
        </w:rPr>
        <w:t xml:space="preserve"> so that victims and society receive answers on whether the violations were part of a pattern </w:t>
      </w:r>
      <w:r w:rsidR="00007756">
        <w:rPr>
          <w:rFonts w:cs="Arial"/>
          <w:b/>
          <w:color w:val="000000"/>
          <w:sz w:val="20"/>
          <w:lang w:eastAsia="en-GB"/>
        </w:rPr>
        <w:t xml:space="preserve">reflecting </w:t>
      </w:r>
      <w:r w:rsidRPr="00356AA1">
        <w:rPr>
          <w:rFonts w:cs="Arial"/>
          <w:b/>
          <w:color w:val="000000"/>
          <w:sz w:val="20"/>
          <w:lang w:eastAsia="en-GB"/>
        </w:rPr>
        <w:t xml:space="preserve">a policy under the responsibility of institutions with identifiable chains of command. This </w:t>
      </w:r>
      <w:r w:rsidR="00007756">
        <w:rPr>
          <w:rFonts w:cs="Arial"/>
          <w:b/>
          <w:color w:val="000000"/>
          <w:sz w:val="20"/>
          <w:lang w:eastAsia="en-GB"/>
        </w:rPr>
        <w:t xml:space="preserve">issue is </w:t>
      </w:r>
      <w:r w:rsidRPr="00356AA1">
        <w:rPr>
          <w:rFonts w:cs="Arial"/>
          <w:b/>
          <w:color w:val="000000"/>
          <w:sz w:val="20"/>
          <w:lang w:eastAsia="en-GB"/>
        </w:rPr>
        <w:t xml:space="preserve">critical </w:t>
      </w:r>
      <w:r w:rsidR="00007756">
        <w:rPr>
          <w:rFonts w:cs="Arial"/>
          <w:b/>
          <w:color w:val="000000"/>
          <w:sz w:val="20"/>
          <w:lang w:eastAsia="en-GB"/>
        </w:rPr>
        <w:t>to establishing</w:t>
      </w:r>
      <w:r w:rsidRPr="00356AA1">
        <w:rPr>
          <w:rFonts w:cs="Arial"/>
          <w:b/>
          <w:color w:val="000000"/>
          <w:sz w:val="20"/>
          <w:lang w:eastAsia="en-GB"/>
        </w:rPr>
        <w:t xml:space="preserve"> the trustworthiness of institutions.</w:t>
      </w:r>
      <w:r w:rsidR="00781044">
        <w:rPr>
          <w:rFonts w:cs="Arial"/>
          <w:b/>
          <w:color w:val="000000"/>
          <w:sz w:val="20"/>
          <w:lang w:eastAsia="en-GB"/>
        </w:rPr>
        <w:t xml:space="preserve"> </w:t>
      </w:r>
    </w:p>
    <w:p w:rsidR="00FF4737" w:rsidRPr="00356AA1" w:rsidRDefault="00836D61">
      <w:pPr>
        <w:pStyle w:val="SingleTxtG"/>
        <w:rPr>
          <w:rFonts w:cs="Arial"/>
          <w:b/>
          <w:color w:val="000000"/>
          <w:sz w:val="20"/>
          <w:lang w:eastAsia="en-GB"/>
        </w:rPr>
      </w:pPr>
      <w:r w:rsidRPr="00356AA1">
        <w:rPr>
          <w:rFonts w:cs="Arial"/>
          <w:color w:val="000000"/>
          <w:sz w:val="20"/>
          <w:lang w:eastAsia="en-GB"/>
        </w:rPr>
        <w:t>11</w:t>
      </w:r>
      <w:r w:rsidR="0042434E">
        <w:rPr>
          <w:rFonts w:cs="Arial"/>
          <w:color w:val="000000"/>
          <w:sz w:val="20"/>
          <w:lang w:eastAsia="en-GB"/>
        </w:rPr>
        <w:t>2</w:t>
      </w:r>
      <w:r w:rsidRPr="00356AA1">
        <w:rPr>
          <w:rFonts w:cs="Arial"/>
          <w:color w:val="000000"/>
          <w:sz w:val="20"/>
          <w:lang w:eastAsia="en-GB"/>
        </w:rPr>
        <w:t>.</w:t>
      </w:r>
      <w:r w:rsidRPr="00356AA1">
        <w:rPr>
          <w:rFonts w:cs="Arial"/>
          <w:b/>
          <w:color w:val="000000"/>
          <w:sz w:val="20"/>
          <w:lang w:eastAsia="en-GB"/>
        </w:rPr>
        <w:tab/>
        <w:t xml:space="preserve">Second, cases leading to death have received the most attention from institutions and, consequently, from civil society, despite other types of cases, </w:t>
      </w:r>
      <w:r w:rsidR="00007756">
        <w:rPr>
          <w:rFonts w:cs="Arial"/>
          <w:b/>
          <w:color w:val="000000"/>
          <w:sz w:val="20"/>
          <w:lang w:eastAsia="en-GB"/>
        </w:rPr>
        <w:t>such as of</w:t>
      </w:r>
      <w:r w:rsidR="00007756" w:rsidRPr="00356AA1">
        <w:rPr>
          <w:rFonts w:cs="Arial"/>
          <w:b/>
          <w:color w:val="000000"/>
          <w:sz w:val="20"/>
          <w:lang w:eastAsia="en-GB"/>
        </w:rPr>
        <w:t xml:space="preserve"> </w:t>
      </w:r>
      <w:r w:rsidRPr="00356AA1">
        <w:rPr>
          <w:rFonts w:cs="Arial"/>
          <w:b/>
          <w:color w:val="000000"/>
          <w:sz w:val="20"/>
          <w:lang w:eastAsia="en-GB"/>
        </w:rPr>
        <w:t xml:space="preserve">illegal detention, sexual violence, torture, injury and severe harm, </w:t>
      </w:r>
      <w:r w:rsidR="00007756">
        <w:rPr>
          <w:rFonts w:cs="Arial"/>
          <w:b/>
          <w:color w:val="000000"/>
          <w:sz w:val="20"/>
          <w:lang w:eastAsia="en-GB"/>
        </w:rPr>
        <w:t xml:space="preserve">which </w:t>
      </w:r>
      <w:r w:rsidRPr="00356AA1">
        <w:rPr>
          <w:rFonts w:cs="Arial"/>
          <w:b/>
          <w:color w:val="000000"/>
          <w:sz w:val="20"/>
          <w:lang w:eastAsia="en-GB"/>
        </w:rPr>
        <w:t>far outnumber death</w:t>
      </w:r>
      <w:r w:rsidR="000D7DB5">
        <w:rPr>
          <w:rFonts w:cs="Arial"/>
          <w:b/>
          <w:color w:val="000000"/>
          <w:sz w:val="20"/>
          <w:lang w:eastAsia="en-GB"/>
        </w:rPr>
        <w:t>s</w:t>
      </w:r>
      <w:r w:rsidRPr="00356AA1">
        <w:rPr>
          <w:rFonts w:cs="Arial"/>
          <w:b/>
          <w:color w:val="000000"/>
          <w:sz w:val="20"/>
          <w:lang w:eastAsia="en-GB"/>
        </w:rPr>
        <w:t>. Because victims of these violations and abuses also have rights to comprehensive redress, these cases deserve urgent attention.</w:t>
      </w:r>
    </w:p>
    <w:p w:rsidR="00FF4737" w:rsidRPr="00356AA1" w:rsidRDefault="00836D61">
      <w:pPr>
        <w:pStyle w:val="SingleTxtG"/>
        <w:rPr>
          <w:rFonts w:cs="Arial"/>
          <w:b/>
          <w:color w:val="000000"/>
          <w:sz w:val="20"/>
          <w:lang w:eastAsia="en-GB"/>
        </w:rPr>
      </w:pPr>
      <w:r w:rsidRPr="00356AA1">
        <w:rPr>
          <w:rFonts w:cs="Arial"/>
          <w:color w:val="000000"/>
          <w:sz w:val="20"/>
          <w:lang w:eastAsia="en-GB"/>
        </w:rPr>
        <w:t>11</w:t>
      </w:r>
      <w:r w:rsidR="0042434E">
        <w:rPr>
          <w:rFonts w:cs="Arial"/>
          <w:color w:val="000000"/>
          <w:sz w:val="20"/>
          <w:lang w:eastAsia="en-GB"/>
        </w:rPr>
        <w:t>3</w:t>
      </w:r>
      <w:r w:rsidRPr="00356AA1">
        <w:rPr>
          <w:rFonts w:cs="Arial"/>
          <w:color w:val="000000"/>
          <w:sz w:val="20"/>
          <w:lang w:eastAsia="en-GB"/>
        </w:rPr>
        <w:t>.</w:t>
      </w:r>
      <w:r w:rsidRPr="00356AA1">
        <w:rPr>
          <w:rFonts w:cs="Arial"/>
          <w:b/>
          <w:color w:val="000000"/>
          <w:sz w:val="20"/>
          <w:lang w:eastAsia="en-GB"/>
        </w:rPr>
        <w:tab/>
        <w:t xml:space="preserve">Third, questions remain about the distribution of efforts in each area of the mandate. There is nothing that undermines more the effectiveness of transitional justice measures than the perception they are instruments of </w:t>
      </w:r>
      <w:r w:rsidR="00007756">
        <w:rPr>
          <w:rFonts w:cs="Arial"/>
          <w:b/>
          <w:color w:val="000000"/>
          <w:sz w:val="20"/>
          <w:lang w:eastAsia="en-GB"/>
        </w:rPr>
        <w:t>“</w:t>
      </w:r>
      <w:r w:rsidRPr="00356AA1">
        <w:rPr>
          <w:rFonts w:cs="Arial"/>
          <w:b/>
          <w:color w:val="000000"/>
          <w:sz w:val="20"/>
          <w:lang w:eastAsia="en-GB"/>
        </w:rPr>
        <w:t>turn-taking</w:t>
      </w:r>
      <w:r w:rsidR="00007756">
        <w:rPr>
          <w:rFonts w:cs="Arial"/>
          <w:b/>
          <w:color w:val="000000"/>
          <w:sz w:val="20"/>
          <w:lang w:eastAsia="en-GB"/>
        </w:rPr>
        <w:t>”, namely, as</w:t>
      </w:r>
      <w:r w:rsidR="0042434E">
        <w:rPr>
          <w:rFonts w:cs="Arial"/>
          <w:b/>
          <w:color w:val="000000"/>
          <w:sz w:val="20"/>
          <w:lang w:eastAsia="en-GB"/>
        </w:rPr>
        <w:t xml:space="preserve"> </w:t>
      </w:r>
      <w:r w:rsidR="00007756">
        <w:rPr>
          <w:rFonts w:cs="Arial"/>
          <w:b/>
          <w:color w:val="000000"/>
          <w:sz w:val="20"/>
          <w:lang w:eastAsia="en-GB"/>
        </w:rPr>
        <w:t>the</w:t>
      </w:r>
      <w:r w:rsidRPr="00356AA1">
        <w:rPr>
          <w:rFonts w:cs="Arial"/>
          <w:b/>
          <w:color w:val="000000"/>
          <w:sz w:val="20"/>
          <w:lang w:eastAsia="en-GB"/>
        </w:rPr>
        <w:t xml:space="preserve"> means to score political points or tools of patronage.</w:t>
      </w:r>
      <w:r w:rsidR="00781044">
        <w:rPr>
          <w:rFonts w:cs="Arial"/>
          <w:b/>
          <w:color w:val="000000"/>
          <w:sz w:val="20"/>
          <w:lang w:eastAsia="en-GB"/>
        </w:rPr>
        <w:t xml:space="preserve"> </w:t>
      </w:r>
    </w:p>
    <w:p w:rsidR="00FF4737" w:rsidRPr="00FF4737" w:rsidRDefault="00836D61">
      <w:pPr>
        <w:pStyle w:val="SingleTxtG"/>
        <w:rPr>
          <w:b/>
        </w:rPr>
      </w:pPr>
      <w:r w:rsidRPr="00356AA1">
        <w:rPr>
          <w:sz w:val="20"/>
          <w:lang w:eastAsia="en-GB"/>
        </w:rPr>
        <w:t>11</w:t>
      </w:r>
      <w:r w:rsidR="0042434E">
        <w:rPr>
          <w:sz w:val="20"/>
          <w:lang w:eastAsia="en-GB"/>
        </w:rPr>
        <w:t>4</w:t>
      </w:r>
      <w:r w:rsidRPr="00356AA1">
        <w:rPr>
          <w:sz w:val="20"/>
          <w:lang w:eastAsia="en-GB"/>
        </w:rPr>
        <w:t>.</w:t>
      </w:r>
      <w:r w:rsidRPr="00356AA1">
        <w:rPr>
          <w:b/>
          <w:sz w:val="20"/>
          <w:lang w:eastAsia="en-GB"/>
        </w:rPr>
        <w:tab/>
      </w:r>
      <w:r w:rsidR="00007756">
        <w:rPr>
          <w:b/>
          <w:sz w:val="20"/>
        </w:rPr>
        <w:t>T</w:t>
      </w:r>
      <w:r w:rsidRPr="00356AA1">
        <w:rPr>
          <w:b/>
          <w:sz w:val="20"/>
        </w:rPr>
        <w:t>here is a noticeable difference between the approaches taken for non-recurrence and those to address the legac</w:t>
      </w:r>
      <w:r w:rsidR="00007756">
        <w:rPr>
          <w:b/>
          <w:sz w:val="20"/>
        </w:rPr>
        <w:t>y</w:t>
      </w:r>
      <w:r w:rsidRPr="00356AA1">
        <w:rPr>
          <w:b/>
          <w:sz w:val="20"/>
        </w:rPr>
        <w:t xml:space="preserve"> of the past: the former stemmed from initiatives that were comprehensive in scope and pursued with few restraints</w:t>
      </w:r>
      <w:r w:rsidR="00007756">
        <w:rPr>
          <w:b/>
          <w:sz w:val="20"/>
        </w:rPr>
        <w:t>;</w:t>
      </w:r>
      <w:r w:rsidRPr="00356AA1">
        <w:rPr>
          <w:b/>
          <w:sz w:val="20"/>
        </w:rPr>
        <w:t xml:space="preserve"> </w:t>
      </w:r>
      <w:r w:rsidR="00007756">
        <w:rPr>
          <w:b/>
          <w:sz w:val="20"/>
        </w:rPr>
        <w:t>t</w:t>
      </w:r>
      <w:r w:rsidRPr="00356AA1">
        <w:rPr>
          <w:b/>
          <w:sz w:val="20"/>
        </w:rPr>
        <w:t xml:space="preserve">he latter </w:t>
      </w:r>
      <w:r w:rsidR="00007756">
        <w:rPr>
          <w:b/>
          <w:sz w:val="20"/>
        </w:rPr>
        <w:t>are</w:t>
      </w:r>
      <w:r w:rsidR="00007756" w:rsidRPr="00356AA1">
        <w:rPr>
          <w:b/>
          <w:sz w:val="20"/>
        </w:rPr>
        <w:t xml:space="preserve"> </w:t>
      </w:r>
      <w:r w:rsidRPr="00356AA1">
        <w:rPr>
          <w:b/>
          <w:sz w:val="20"/>
        </w:rPr>
        <w:t xml:space="preserve">halting and reticent, open to charges of </w:t>
      </w:r>
      <w:r w:rsidR="007A62F3">
        <w:rPr>
          <w:b/>
          <w:sz w:val="20"/>
        </w:rPr>
        <w:t>obfuscation</w:t>
      </w:r>
      <w:r w:rsidRPr="00356AA1">
        <w:rPr>
          <w:b/>
          <w:sz w:val="20"/>
        </w:rPr>
        <w:t xml:space="preserve"> more than transparency (</w:t>
      </w:r>
      <w:r w:rsidR="00007756">
        <w:rPr>
          <w:b/>
          <w:sz w:val="20"/>
        </w:rPr>
        <w:t>for example</w:t>
      </w:r>
      <w:r w:rsidRPr="00356AA1">
        <w:rPr>
          <w:b/>
          <w:sz w:val="20"/>
        </w:rPr>
        <w:t xml:space="preserve">, the redefinition of </w:t>
      </w:r>
      <w:r w:rsidR="00007756">
        <w:rPr>
          <w:b/>
          <w:sz w:val="20"/>
        </w:rPr>
        <w:t>“</w:t>
      </w:r>
      <w:r w:rsidRPr="00356AA1">
        <w:rPr>
          <w:b/>
          <w:sz w:val="20"/>
        </w:rPr>
        <w:t>collusion</w:t>
      </w:r>
      <w:r w:rsidR="00007756">
        <w:rPr>
          <w:b/>
          <w:sz w:val="20"/>
        </w:rPr>
        <w:t>”</w:t>
      </w:r>
      <w:r w:rsidRPr="00356AA1">
        <w:rPr>
          <w:b/>
          <w:sz w:val="20"/>
        </w:rPr>
        <w:t xml:space="preserve">, the use of </w:t>
      </w:r>
      <w:r w:rsidR="00007756">
        <w:rPr>
          <w:b/>
          <w:sz w:val="20"/>
        </w:rPr>
        <w:t>“</w:t>
      </w:r>
      <w:r w:rsidRPr="00356AA1">
        <w:rPr>
          <w:b/>
          <w:sz w:val="20"/>
        </w:rPr>
        <w:t>national security</w:t>
      </w:r>
      <w:r w:rsidR="00007756">
        <w:rPr>
          <w:b/>
          <w:sz w:val="20"/>
        </w:rPr>
        <w:t>”</w:t>
      </w:r>
      <w:r w:rsidRPr="00356AA1">
        <w:rPr>
          <w:b/>
          <w:sz w:val="20"/>
        </w:rPr>
        <w:t xml:space="preserve"> considerations, </w:t>
      </w:r>
      <w:r w:rsidR="00007756">
        <w:rPr>
          <w:b/>
          <w:sz w:val="20"/>
        </w:rPr>
        <w:t>discussions over</w:t>
      </w:r>
      <w:r w:rsidRPr="00356AA1">
        <w:rPr>
          <w:b/>
          <w:sz w:val="20"/>
        </w:rPr>
        <w:t xml:space="preserve"> the definition of </w:t>
      </w:r>
      <w:r w:rsidR="00007756">
        <w:rPr>
          <w:b/>
          <w:sz w:val="20"/>
        </w:rPr>
        <w:t>“</w:t>
      </w:r>
      <w:r w:rsidRPr="00356AA1">
        <w:rPr>
          <w:b/>
          <w:sz w:val="20"/>
        </w:rPr>
        <w:t>victim</w:t>
      </w:r>
      <w:r w:rsidR="00007756">
        <w:rPr>
          <w:b/>
          <w:sz w:val="20"/>
        </w:rPr>
        <w:t>”</w:t>
      </w:r>
      <w:r w:rsidRPr="00356AA1">
        <w:rPr>
          <w:b/>
          <w:sz w:val="20"/>
        </w:rPr>
        <w:t xml:space="preserve">, </w:t>
      </w:r>
      <w:r w:rsidR="00007756">
        <w:rPr>
          <w:b/>
          <w:sz w:val="20"/>
        </w:rPr>
        <w:t xml:space="preserve">or </w:t>
      </w:r>
      <w:r w:rsidRPr="00356AA1">
        <w:rPr>
          <w:b/>
          <w:sz w:val="20"/>
        </w:rPr>
        <w:t>ambiguities in the classification of the conflict). It is not surprising that the two types of measures have found such radically different degrees of success.</w:t>
      </w:r>
      <w:r w:rsidR="00781044">
        <w:rPr>
          <w:b/>
          <w:sz w:val="20"/>
        </w:rPr>
        <w:t xml:space="preserve"> </w:t>
      </w:r>
      <w:r w:rsidRPr="00356AA1">
        <w:rPr>
          <w:b/>
          <w:sz w:val="20"/>
        </w:rPr>
        <w:t xml:space="preserve">Reticence and indirectness have involved costs not just for victims, but </w:t>
      </w:r>
      <w:r w:rsidR="00007756">
        <w:rPr>
          <w:b/>
          <w:sz w:val="20"/>
        </w:rPr>
        <w:t xml:space="preserve">also </w:t>
      </w:r>
      <w:r w:rsidRPr="00356AA1">
        <w:rPr>
          <w:b/>
          <w:sz w:val="20"/>
        </w:rPr>
        <w:t>for the broader project of a society genuinely able to move forward together</w:t>
      </w:r>
      <w:r w:rsidR="00007756">
        <w:rPr>
          <w:b/>
          <w:sz w:val="20"/>
        </w:rPr>
        <w:t xml:space="preserve"> – </w:t>
      </w:r>
      <w:r w:rsidRPr="00356AA1">
        <w:rPr>
          <w:b/>
          <w:sz w:val="20"/>
        </w:rPr>
        <w:t>obviously, since the two are linked.</w:t>
      </w:r>
      <w:r w:rsidR="00781044">
        <w:rPr>
          <w:b/>
        </w:rPr>
        <w:t xml:space="preserve"> </w:t>
      </w:r>
    </w:p>
    <w:p w:rsidR="00FF4737" w:rsidRPr="00FF4737" w:rsidRDefault="007C1927" w:rsidP="00356AA1">
      <w:pPr>
        <w:pStyle w:val="HChG"/>
        <w:spacing w:line="240" w:lineRule="atLeast"/>
      </w:pPr>
      <w:r w:rsidRPr="00FF4737">
        <w:tab/>
        <w:t>IX.</w:t>
      </w:r>
      <w:r w:rsidRPr="00FF4737">
        <w:tab/>
        <w:t>Recommendations</w:t>
      </w:r>
    </w:p>
    <w:p w:rsidR="00FF4737" w:rsidRPr="00356AA1" w:rsidRDefault="007C1927">
      <w:pPr>
        <w:pStyle w:val="SingleTxtG"/>
        <w:rPr>
          <w:b/>
          <w:sz w:val="20"/>
          <w:lang w:eastAsia="en-GB"/>
        </w:rPr>
      </w:pPr>
      <w:r w:rsidRPr="00356AA1">
        <w:rPr>
          <w:sz w:val="20"/>
          <w:lang w:eastAsia="en-GB"/>
        </w:rPr>
        <w:t>11</w:t>
      </w:r>
      <w:r w:rsidR="0042434E">
        <w:rPr>
          <w:sz w:val="20"/>
          <w:lang w:eastAsia="en-GB"/>
        </w:rPr>
        <w:t>5</w:t>
      </w:r>
      <w:r w:rsidRPr="00356AA1">
        <w:rPr>
          <w:sz w:val="20"/>
          <w:lang w:eastAsia="en-GB"/>
        </w:rPr>
        <w:t>.</w:t>
      </w:r>
      <w:r w:rsidRPr="00356AA1">
        <w:rPr>
          <w:sz w:val="20"/>
          <w:lang w:eastAsia="en-GB"/>
        </w:rPr>
        <w:tab/>
      </w:r>
      <w:r w:rsidRPr="00356AA1">
        <w:rPr>
          <w:b/>
          <w:sz w:val="20"/>
          <w:lang w:eastAsia="en-GB"/>
        </w:rPr>
        <w:t xml:space="preserve">The Stormont House Agreement contains broad outlines of the new institutional set-up to address the </w:t>
      </w:r>
      <w:r w:rsidR="002D4FAA">
        <w:rPr>
          <w:b/>
          <w:sz w:val="20"/>
          <w:lang w:eastAsia="en-GB"/>
        </w:rPr>
        <w:t xml:space="preserve">legacy of the </w:t>
      </w:r>
      <w:r w:rsidRPr="00356AA1">
        <w:rPr>
          <w:b/>
          <w:sz w:val="20"/>
          <w:lang w:eastAsia="en-GB"/>
        </w:rPr>
        <w:t>Troubles</w:t>
      </w:r>
      <w:r w:rsidR="002D4FAA">
        <w:rPr>
          <w:b/>
          <w:sz w:val="20"/>
          <w:lang w:eastAsia="en-GB"/>
        </w:rPr>
        <w:t>:</w:t>
      </w:r>
      <w:r w:rsidRPr="00356AA1">
        <w:rPr>
          <w:b/>
          <w:sz w:val="20"/>
          <w:lang w:eastAsia="en-GB"/>
        </w:rPr>
        <w:t xml:space="preserve"> </w:t>
      </w:r>
      <w:r w:rsidR="002D4FAA">
        <w:rPr>
          <w:b/>
          <w:sz w:val="20"/>
          <w:lang w:eastAsia="en-GB"/>
        </w:rPr>
        <w:t xml:space="preserve">an independent </w:t>
      </w:r>
      <w:r w:rsidRPr="00356AA1">
        <w:rPr>
          <w:b/>
          <w:sz w:val="20"/>
          <w:lang w:eastAsia="en-GB"/>
        </w:rPr>
        <w:t>Historical Investigations Unit (</w:t>
      </w:r>
      <w:r w:rsidR="002D4FAA">
        <w:rPr>
          <w:b/>
          <w:sz w:val="20"/>
          <w:lang w:eastAsia="en-GB"/>
        </w:rPr>
        <w:t>“</w:t>
      </w:r>
      <w:r w:rsidRPr="00356AA1">
        <w:rPr>
          <w:b/>
          <w:sz w:val="20"/>
          <w:lang w:eastAsia="en-GB"/>
        </w:rPr>
        <w:t>to take forward investigations into outstanding Troubles-related deaths</w:t>
      </w:r>
      <w:r w:rsidR="002D4FAA">
        <w:rPr>
          <w:b/>
          <w:sz w:val="20"/>
          <w:lang w:eastAsia="en-GB"/>
        </w:rPr>
        <w:t>”</w:t>
      </w:r>
      <w:r w:rsidRPr="00356AA1">
        <w:rPr>
          <w:b/>
          <w:sz w:val="20"/>
          <w:lang w:eastAsia="en-GB"/>
        </w:rPr>
        <w:t>); an Independent Commission on Information Retrieval (</w:t>
      </w:r>
      <w:r w:rsidR="002D4FAA">
        <w:rPr>
          <w:b/>
          <w:sz w:val="20"/>
          <w:lang w:eastAsia="en-GB"/>
        </w:rPr>
        <w:t>“</w:t>
      </w:r>
      <w:r w:rsidRPr="00356AA1">
        <w:rPr>
          <w:b/>
          <w:sz w:val="20"/>
          <w:lang w:eastAsia="en-GB"/>
        </w:rPr>
        <w:t>to enable victims and survivors to seek and privately receive information about the death of their next of kin</w:t>
      </w:r>
      <w:r w:rsidR="002D4FAA">
        <w:rPr>
          <w:b/>
          <w:sz w:val="20"/>
          <w:lang w:eastAsia="en-GB"/>
        </w:rPr>
        <w:t>”</w:t>
      </w:r>
      <w:r w:rsidRPr="00356AA1">
        <w:rPr>
          <w:b/>
          <w:sz w:val="20"/>
          <w:lang w:eastAsia="en-GB"/>
        </w:rPr>
        <w:t>); an Oral History Archive (</w:t>
      </w:r>
      <w:r w:rsidR="002D4FAA">
        <w:rPr>
          <w:b/>
          <w:sz w:val="20"/>
          <w:lang w:eastAsia="en-GB"/>
        </w:rPr>
        <w:t>“</w:t>
      </w:r>
      <w:r w:rsidRPr="00356AA1">
        <w:rPr>
          <w:b/>
          <w:sz w:val="20"/>
          <w:lang w:eastAsia="en-GB"/>
        </w:rPr>
        <w:t xml:space="preserve">to provide a central place to share experiences </w:t>
      </w:r>
      <w:r w:rsidRPr="00356AA1">
        <w:rPr>
          <w:b/>
          <w:sz w:val="20"/>
          <w:lang w:eastAsia="en-GB"/>
        </w:rPr>
        <w:lastRenderedPageBreak/>
        <w:t>and narratives related to the Troubles</w:t>
      </w:r>
      <w:r w:rsidR="002D4FAA">
        <w:rPr>
          <w:b/>
          <w:sz w:val="20"/>
          <w:lang w:eastAsia="en-GB"/>
        </w:rPr>
        <w:t>”</w:t>
      </w:r>
      <w:r w:rsidRPr="00356AA1">
        <w:rPr>
          <w:b/>
          <w:sz w:val="20"/>
          <w:lang w:eastAsia="en-GB"/>
        </w:rPr>
        <w:t>); and an Implementation and Reconciliation Group (</w:t>
      </w:r>
      <w:r w:rsidR="002D4FAA">
        <w:rPr>
          <w:b/>
          <w:sz w:val="20"/>
          <w:lang w:eastAsia="en-GB"/>
        </w:rPr>
        <w:t>“</w:t>
      </w:r>
      <w:r w:rsidRPr="00356AA1">
        <w:rPr>
          <w:b/>
          <w:sz w:val="20"/>
          <w:lang w:eastAsia="en-GB"/>
        </w:rPr>
        <w:t>to oversee themes, archives and information recovery</w:t>
      </w:r>
      <w:r w:rsidR="002D4FAA">
        <w:rPr>
          <w:b/>
          <w:sz w:val="20"/>
          <w:lang w:eastAsia="en-GB"/>
        </w:rPr>
        <w:t>”</w:t>
      </w:r>
      <w:r w:rsidRPr="00356AA1">
        <w:rPr>
          <w:b/>
          <w:sz w:val="20"/>
          <w:lang w:eastAsia="en-GB"/>
        </w:rPr>
        <w:t xml:space="preserve">). </w:t>
      </w:r>
    </w:p>
    <w:p w:rsidR="002D4FAA" w:rsidRDefault="007C1927">
      <w:pPr>
        <w:pStyle w:val="SingleTxtG"/>
        <w:rPr>
          <w:b/>
          <w:sz w:val="20"/>
          <w:lang w:eastAsia="en-GB"/>
        </w:rPr>
      </w:pPr>
      <w:r w:rsidRPr="00356AA1">
        <w:rPr>
          <w:sz w:val="20"/>
          <w:lang w:eastAsia="en-GB"/>
        </w:rPr>
        <w:t>11</w:t>
      </w:r>
      <w:r w:rsidR="0042434E">
        <w:rPr>
          <w:sz w:val="20"/>
          <w:lang w:eastAsia="en-GB"/>
        </w:rPr>
        <w:t>6</w:t>
      </w:r>
      <w:r w:rsidRPr="00356AA1">
        <w:rPr>
          <w:sz w:val="20"/>
          <w:lang w:eastAsia="en-GB"/>
        </w:rPr>
        <w:t>.</w:t>
      </w:r>
      <w:r w:rsidRPr="00356AA1">
        <w:rPr>
          <w:b/>
          <w:sz w:val="20"/>
          <w:lang w:eastAsia="en-GB"/>
        </w:rPr>
        <w:tab/>
      </w:r>
      <w:r w:rsidR="002D4FAA">
        <w:rPr>
          <w:b/>
          <w:sz w:val="20"/>
          <w:lang w:eastAsia="en-GB"/>
        </w:rPr>
        <w:t>Since</w:t>
      </w:r>
      <w:r w:rsidR="002D4FAA" w:rsidRPr="00356AA1">
        <w:rPr>
          <w:b/>
          <w:sz w:val="20"/>
          <w:lang w:eastAsia="en-GB"/>
        </w:rPr>
        <w:t xml:space="preserve"> </w:t>
      </w:r>
      <w:r w:rsidRPr="00356AA1">
        <w:rPr>
          <w:b/>
          <w:sz w:val="20"/>
          <w:lang w:eastAsia="en-GB"/>
        </w:rPr>
        <w:t xml:space="preserve">the </w:t>
      </w:r>
      <w:r w:rsidR="002D4FAA">
        <w:rPr>
          <w:b/>
          <w:sz w:val="20"/>
          <w:lang w:eastAsia="en-GB"/>
        </w:rPr>
        <w:t xml:space="preserve">details of the </w:t>
      </w:r>
      <w:r w:rsidRPr="00356AA1">
        <w:rPr>
          <w:b/>
          <w:sz w:val="20"/>
          <w:lang w:eastAsia="en-GB"/>
        </w:rPr>
        <w:t xml:space="preserve">Agreement </w:t>
      </w:r>
      <w:r w:rsidR="002D4FAA">
        <w:rPr>
          <w:b/>
          <w:sz w:val="20"/>
          <w:lang w:eastAsia="en-GB"/>
        </w:rPr>
        <w:t>are yet to be defined</w:t>
      </w:r>
      <w:r w:rsidRPr="00356AA1">
        <w:rPr>
          <w:b/>
          <w:sz w:val="20"/>
          <w:lang w:eastAsia="en-GB"/>
        </w:rPr>
        <w:t>, the Special Rapporteur offers only some general comments.</w:t>
      </w:r>
      <w:r w:rsidR="00781044">
        <w:rPr>
          <w:b/>
          <w:sz w:val="20"/>
          <w:lang w:eastAsia="en-GB"/>
        </w:rPr>
        <w:t xml:space="preserve"> </w:t>
      </w:r>
    </w:p>
    <w:p w:rsidR="002D4FAA" w:rsidRDefault="002D4FAA" w:rsidP="00356AA1">
      <w:pPr>
        <w:pStyle w:val="Bullet1G"/>
        <w:numPr>
          <w:ilvl w:val="0"/>
          <w:numId w:val="0"/>
        </w:numPr>
        <w:ind w:left="1134"/>
        <w:rPr>
          <w:b/>
          <w:sz w:val="20"/>
          <w:lang w:eastAsia="en-GB"/>
        </w:rPr>
      </w:pPr>
      <w:r>
        <w:rPr>
          <w:sz w:val="20"/>
          <w:lang w:eastAsia="en-GB"/>
        </w:rPr>
        <w:t>1</w:t>
      </w:r>
      <w:r w:rsidR="0042434E">
        <w:rPr>
          <w:sz w:val="20"/>
          <w:lang w:eastAsia="en-GB"/>
        </w:rPr>
        <w:t>17</w:t>
      </w:r>
      <w:r>
        <w:rPr>
          <w:sz w:val="20"/>
          <w:lang w:eastAsia="en-GB"/>
        </w:rPr>
        <w:t>.</w:t>
      </w:r>
      <w:r>
        <w:rPr>
          <w:b/>
          <w:sz w:val="20"/>
          <w:lang w:eastAsia="en-GB"/>
        </w:rPr>
        <w:tab/>
      </w:r>
      <w:r w:rsidR="00627BD7">
        <w:rPr>
          <w:b/>
          <w:sz w:val="20"/>
          <w:lang w:eastAsia="en-GB"/>
        </w:rPr>
        <w:t>T</w:t>
      </w:r>
      <w:r w:rsidRPr="00C62201">
        <w:rPr>
          <w:b/>
          <w:sz w:val="20"/>
          <w:lang w:eastAsia="en-GB"/>
        </w:rPr>
        <w:t xml:space="preserve">he independence, access to information and adequate funding of the </w:t>
      </w:r>
      <w:r w:rsidR="00627BD7">
        <w:rPr>
          <w:b/>
          <w:sz w:val="20"/>
          <w:lang w:eastAsia="en-GB"/>
        </w:rPr>
        <w:t>H</w:t>
      </w:r>
      <w:r w:rsidRPr="00DA73A6">
        <w:rPr>
          <w:b/>
          <w:sz w:val="20"/>
          <w:lang w:eastAsia="en-GB"/>
        </w:rPr>
        <w:t xml:space="preserve">istorical </w:t>
      </w:r>
      <w:r w:rsidR="00627BD7">
        <w:rPr>
          <w:b/>
          <w:sz w:val="20"/>
          <w:lang w:eastAsia="en-GB"/>
        </w:rPr>
        <w:t>I</w:t>
      </w:r>
      <w:r w:rsidRPr="00DA73A6">
        <w:rPr>
          <w:b/>
          <w:sz w:val="20"/>
          <w:lang w:eastAsia="en-GB"/>
        </w:rPr>
        <w:t xml:space="preserve">nvestigations </w:t>
      </w:r>
      <w:r w:rsidR="00627BD7">
        <w:rPr>
          <w:b/>
          <w:sz w:val="20"/>
          <w:lang w:eastAsia="en-GB"/>
        </w:rPr>
        <w:t>U</w:t>
      </w:r>
      <w:r w:rsidRPr="00DA73A6">
        <w:rPr>
          <w:b/>
          <w:sz w:val="20"/>
          <w:lang w:eastAsia="en-GB"/>
        </w:rPr>
        <w:t>nit</w:t>
      </w:r>
      <w:r w:rsidRPr="00C62201">
        <w:rPr>
          <w:b/>
          <w:sz w:val="20"/>
          <w:lang w:eastAsia="en-GB"/>
        </w:rPr>
        <w:t xml:space="preserve"> is critical to avoiding the problems of earlier truth-seeking measures, including the </w:t>
      </w:r>
      <w:r w:rsidR="00163CA4">
        <w:rPr>
          <w:b/>
          <w:sz w:val="20"/>
        </w:rPr>
        <w:t>HET</w:t>
      </w:r>
      <w:r w:rsidRPr="0097615D" w:rsidDel="0097615D">
        <w:rPr>
          <w:b/>
          <w:sz w:val="20"/>
          <w:lang w:eastAsia="en-GB"/>
        </w:rPr>
        <w:t xml:space="preserve"> </w:t>
      </w:r>
      <w:r w:rsidRPr="00C62201">
        <w:rPr>
          <w:b/>
          <w:sz w:val="20"/>
          <w:lang w:eastAsia="en-GB"/>
        </w:rPr>
        <w:t>and the Office of the Police Ombudsman in Northern Ireland.</w:t>
      </w:r>
      <w:r w:rsidRPr="002D4FAA">
        <w:rPr>
          <w:b/>
          <w:sz w:val="20"/>
          <w:lang w:eastAsia="en-GB"/>
        </w:rPr>
        <w:t xml:space="preserve"> </w:t>
      </w:r>
    </w:p>
    <w:p w:rsidR="002D4FAA" w:rsidRDefault="002D4FAA" w:rsidP="00356AA1">
      <w:pPr>
        <w:pStyle w:val="Bullet1G"/>
        <w:numPr>
          <w:ilvl w:val="0"/>
          <w:numId w:val="0"/>
        </w:numPr>
        <w:ind w:left="1134"/>
        <w:rPr>
          <w:b/>
          <w:sz w:val="20"/>
          <w:lang w:eastAsia="en-GB"/>
        </w:rPr>
      </w:pPr>
      <w:r>
        <w:rPr>
          <w:sz w:val="20"/>
          <w:lang w:eastAsia="en-GB"/>
        </w:rPr>
        <w:t>11</w:t>
      </w:r>
      <w:r w:rsidR="0042434E">
        <w:rPr>
          <w:sz w:val="20"/>
          <w:lang w:eastAsia="en-GB"/>
        </w:rPr>
        <w:t>8</w:t>
      </w:r>
      <w:r>
        <w:rPr>
          <w:sz w:val="20"/>
          <w:lang w:eastAsia="en-GB"/>
        </w:rPr>
        <w:t>.</w:t>
      </w:r>
      <w:r>
        <w:rPr>
          <w:b/>
          <w:sz w:val="20"/>
          <w:lang w:eastAsia="en-GB"/>
        </w:rPr>
        <w:tab/>
      </w:r>
      <w:r w:rsidR="00627BD7">
        <w:rPr>
          <w:b/>
          <w:sz w:val="20"/>
          <w:lang w:eastAsia="en-GB"/>
        </w:rPr>
        <w:t>G</w:t>
      </w:r>
      <w:r>
        <w:rPr>
          <w:b/>
          <w:sz w:val="20"/>
          <w:lang w:eastAsia="en-GB"/>
        </w:rPr>
        <w:t>iven that</w:t>
      </w:r>
      <w:r w:rsidRPr="009755FA">
        <w:rPr>
          <w:b/>
          <w:sz w:val="20"/>
          <w:lang w:eastAsia="en-GB"/>
        </w:rPr>
        <w:t xml:space="preserve"> the </w:t>
      </w:r>
      <w:r w:rsidR="00627BD7">
        <w:rPr>
          <w:b/>
          <w:sz w:val="20"/>
          <w:lang w:eastAsia="en-GB"/>
        </w:rPr>
        <w:t>H</w:t>
      </w:r>
      <w:r w:rsidRPr="00DA73A6">
        <w:rPr>
          <w:b/>
          <w:sz w:val="20"/>
          <w:lang w:eastAsia="en-GB"/>
        </w:rPr>
        <w:t xml:space="preserve">istorical </w:t>
      </w:r>
      <w:r w:rsidR="00627BD7">
        <w:rPr>
          <w:b/>
          <w:sz w:val="20"/>
          <w:lang w:eastAsia="en-GB"/>
        </w:rPr>
        <w:t>I</w:t>
      </w:r>
      <w:r w:rsidRPr="00DA73A6">
        <w:rPr>
          <w:b/>
          <w:sz w:val="20"/>
          <w:lang w:eastAsia="en-GB"/>
        </w:rPr>
        <w:t xml:space="preserve">nvestigations </w:t>
      </w:r>
      <w:r w:rsidR="00627BD7">
        <w:rPr>
          <w:b/>
          <w:sz w:val="20"/>
          <w:lang w:eastAsia="en-GB"/>
        </w:rPr>
        <w:t>U</w:t>
      </w:r>
      <w:r w:rsidRPr="00DA73A6">
        <w:rPr>
          <w:b/>
          <w:sz w:val="20"/>
          <w:lang w:eastAsia="en-GB"/>
        </w:rPr>
        <w:t>nit</w:t>
      </w:r>
      <w:r w:rsidRPr="009755FA">
        <w:rPr>
          <w:b/>
          <w:sz w:val="20"/>
          <w:lang w:eastAsia="en-GB"/>
        </w:rPr>
        <w:t xml:space="preserve">, like past mechanisms, will be case-based, the </w:t>
      </w:r>
      <w:r>
        <w:rPr>
          <w:b/>
          <w:sz w:val="20"/>
          <w:lang w:eastAsia="en-GB"/>
        </w:rPr>
        <w:t>implementation and reconciliation group</w:t>
      </w:r>
      <w:r w:rsidRPr="009755FA">
        <w:rPr>
          <w:b/>
          <w:sz w:val="20"/>
          <w:lang w:eastAsia="en-GB"/>
        </w:rPr>
        <w:t xml:space="preserve"> must be designed, staffed, funded and authorized to </w:t>
      </w:r>
      <w:r>
        <w:rPr>
          <w:b/>
          <w:sz w:val="20"/>
          <w:lang w:eastAsia="en-GB"/>
        </w:rPr>
        <w:t>address the</w:t>
      </w:r>
      <w:r w:rsidRPr="009755FA">
        <w:rPr>
          <w:b/>
          <w:sz w:val="20"/>
          <w:lang w:eastAsia="en-GB"/>
        </w:rPr>
        <w:t xml:space="preserve"> patterns, themes and structural dimensions of a conflict that cannot be properly understood or addressed as the sum of isolated cases. In the </w:t>
      </w:r>
      <w:r>
        <w:rPr>
          <w:b/>
          <w:sz w:val="20"/>
          <w:lang w:eastAsia="en-GB"/>
        </w:rPr>
        <w:t>Agreement,</w:t>
      </w:r>
      <w:r w:rsidRPr="009755FA">
        <w:rPr>
          <w:b/>
          <w:sz w:val="20"/>
          <w:lang w:eastAsia="en-GB"/>
        </w:rPr>
        <w:t xml:space="preserve"> the wording referring to the </w:t>
      </w:r>
      <w:r w:rsidR="00627BD7" w:rsidRPr="0029744A">
        <w:rPr>
          <w:b/>
          <w:sz w:val="20"/>
          <w:lang w:eastAsia="en-GB"/>
        </w:rPr>
        <w:t xml:space="preserve">Implementation and Reconciliation Group </w:t>
      </w:r>
      <w:r w:rsidRPr="009755FA">
        <w:rPr>
          <w:b/>
          <w:sz w:val="20"/>
          <w:lang w:eastAsia="en-GB"/>
        </w:rPr>
        <w:t>is vaguer than for the other proposed institutions.</w:t>
      </w:r>
      <w:r w:rsidRPr="002D4FAA">
        <w:rPr>
          <w:b/>
          <w:sz w:val="20"/>
          <w:lang w:eastAsia="en-GB"/>
        </w:rPr>
        <w:t xml:space="preserve"> </w:t>
      </w:r>
    </w:p>
    <w:p w:rsidR="002D4FAA" w:rsidRDefault="002D4FAA" w:rsidP="00356AA1">
      <w:pPr>
        <w:pStyle w:val="Bullet1G"/>
        <w:numPr>
          <w:ilvl w:val="0"/>
          <w:numId w:val="0"/>
        </w:numPr>
        <w:ind w:left="1134"/>
        <w:rPr>
          <w:b/>
          <w:sz w:val="20"/>
          <w:lang w:eastAsia="en-GB"/>
        </w:rPr>
      </w:pPr>
      <w:r>
        <w:rPr>
          <w:sz w:val="20"/>
          <w:lang w:eastAsia="en-GB"/>
        </w:rPr>
        <w:t>1</w:t>
      </w:r>
      <w:r w:rsidR="0042434E">
        <w:rPr>
          <w:sz w:val="20"/>
          <w:lang w:eastAsia="en-GB"/>
        </w:rPr>
        <w:t>19</w:t>
      </w:r>
      <w:r>
        <w:rPr>
          <w:sz w:val="20"/>
          <w:lang w:eastAsia="en-GB"/>
        </w:rPr>
        <w:t>.</w:t>
      </w:r>
      <w:r>
        <w:rPr>
          <w:b/>
          <w:sz w:val="20"/>
          <w:lang w:eastAsia="en-GB"/>
        </w:rPr>
        <w:tab/>
      </w:r>
      <w:r w:rsidRPr="008B7991">
        <w:rPr>
          <w:b/>
          <w:sz w:val="20"/>
          <w:lang w:eastAsia="en-GB"/>
        </w:rPr>
        <w:t xml:space="preserve">The willingness of people to trust the </w:t>
      </w:r>
      <w:r w:rsidR="00627BD7">
        <w:rPr>
          <w:b/>
          <w:sz w:val="20"/>
          <w:lang w:eastAsia="en-GB"/>
        </w:rPr>
        <w:t>O</w:t>
      </w:r>
      <w:r>
        <w:rPr>
          <w:b/>
          <w:sz w:val="20"/>
          <w:lang w:eastAsia="en-GB"/>
        </w:rPr>
        <w:t xml:space="preserve">ral </w:t>
      </w:r>
      <w:r w:rsidR="00627BD7">
        <w:rPr>
          <w:b/>
          <w:sz w:val="20"/>
          <w:lang w:eastAsia="en-GB"/>
        </w:rPr>
        <w:t>H</w:t>
      </w:r>
      <w:r>
        <w:rPr>
          <w:b/>
          <w:sz w:val="20"/>
          <w:lang w:eastAsia="en-GB"/>
        </w:rPr>
        <w:t xml:space="preserve">istory </w:t>
      </w:r>
      <w:r w:rsidR="00627BD7">
        <w:rPr>
          <w:b/>
          <w:sz w:val="20"/>
          <w:lang w:eastAsia="en-GB"/>
        </w:rPr>
        <w:t>A</w:t>
      </w:r>
      <w:r>
        <w:rPr>
          <w:b/>
          <w:sz w:val="20"/>
          <w:lang w:eastAsia="en-GB"/>
        </w:rPr>
        <w:t>rchive</w:t>
      </w:r>
      <w:r w:rsidRPr="008B7991">
        <w:rPr>
          <w:b/>
          <w:sz w:val="20"/>
          <w:lang w:eastAsia="en-GB"/>
        </w:rPr>
        <w:t xml:space="preserve"> with their testimonies is contingent on resolving issues </w:t>
      </w:r>
      <w:r>
        <w:rPr>
          <w:b/>
          <w:sz w:val="20"/>
          <w:lang w:eastAsia="en-GB"/>
        </w:rPr>
        <w:t>of</w:t>
      </w:r>
      <w:r w:rsidRPr="008B7991">
        <w:rPr>
          <w:b/>
          <w:sz w:val="20"/>
          <w:lang w:eastAsia="en-GB"/>
        </w:rPr>
        <w:t xml:space="preserve"> independence and modalities of support to guarantee access and preservation.</w:t>
      </w:r>
      <w:r w:rsidR="00781044">
        <w:rPr>
          <w:b/>
          <w:sz w:val="20"/>
          <w:lang w:eastAsia="en-GB"/>
        </w:rPr>
        <w:t xml:space="preserve"> </w:t>
      </w:r>
      <w:r w:rsidRPr="008B7991">
        <w:rPr>
          <w:b/>
          <w:sz w:val="20"/>
          <w:lang w:eastAsia="en-GB"/>
        </w:rPr>
        <w:t xml:space="preserve">The full potential of the </w:t>
      </w:r>
      <w:r w:rsidR="00627BD7">
        <w:rPr>
          <w:b/>
          <w:sz w:val="20"/>
          <w:lang w:eastAsia="en-GB"/>
        </w:rPr>
        <w:t>A</w:t>
      </w:r>
      <w:r w:rsidRPr="008B7991">
        <w:rPr>
          <w:b/>
          <w:sz w:val="20"/>
          <w:lang w:eastAsia="en-GB"/>
        </w:rPr>
        <w:t xml:space="preserve">rchive depends on being more than the repository of discrete, unconnected stories; again, </w:t>
      </w:r>
      <w:r>
        <w:rPr>
          <w:b/>
          <w:sz w:val="20"/>
          <w:lang w:eastAsia="en-GB"/>
        </w:rPr>
        <w:t>it</w:t>
      </w:r>
      <w:r w:rsidRPr="008B7991">
        <w:rPr>
          <w:b/>
          <w:sz w:val="20"/>
          <w:lang w:eastAsia="en-GB"/>
        </w:rPr>
        <w:t xml:space="preserve"> must have the capacity to analyse and discover patterns and themes.</w:t>
      </w:r>
      <w:r w:rsidRPr="002D4FAA">
        <w:rPr>
          <w:b/>
          <w:sz w:val="20"/>
          <w:lang w:eastAsia="en-GB"/>
        </w:rPr>
        <w:t xml:space="preserve"> </w:t>
      </w:r>
    </w:p>
    <w:p w:rsidR="00FF4737" w:rsidRPr="00356AA1" w:rsidRDefault="002D4FAA" w:rsidP="00356AA1">
      <w:pPr>
        <w:pStyle w:val="Bullet1G"/>
        <w:numPr>
          <w:ilvl w:val="0"/>
          <w:numId w:val="0"/>
        </w:numPr>
        <w:ind w:left="1134"/>
        <w:rPr>
          <w:b/>
          <w:sz w:val="20"/>
          <w:lang w:eastAsia="en-GB"/>
        </w:rPr>
      </w:pPr>
      <w:r w:rsidRPr="00356AA1">
        <w:rPr>
          <w:sz w:val="20"/>
          <w:lang w:eastAsia="en-GB"/>
        </w:rPr>
        <w:t>12</w:t>
      </w:r>
      <w:r w:rsidR="0042434E">
        <w:rPr>
          <w:sz w:val="20"/>
          <w:lang w:eastAsia="en-GB"/>
        </w:rPr>
        <w:t>0</w:t>
      </w:r>
      <w:r w:rsidRPr="00356AA1">
        <w:rPr>
          <w:sz w:val="20"/>
          <w:lang w:eastAsia="en-GB"/>
        </w:rPr>
        <w:t>.</w:t>
      </w:r>
      <w:r w:rsidRPr="00356AA1">
        <w:rPr>
          <w:sz w:val="20"/>
          <w:lang w:eastAsia="en-GB"/>
        </w:rPr>
        <w:tab/>
      </w:r>
      <w:r w:rsidR="00627BD7">
        <w:rPr>
          <w:b/>
          <w:sz w:val="20"/>
          <w:lang w:eastAsia="en-GB"/>
        </w:rPr>
        <w:t>L</w:t>
      </w:r>
      <w:r w:rsidRPr="00A40960">
        <w:rPr>
          <w:b/>
          <w:sz w:val="20"/>
          <w:lang w:eastAsia="en-GB"/>
        </w:rPr>
        <w:t>inks between the different elements of the architectur</w:t>
      </w:r>
      <w:r>
        <w:rPr>
          <w:b/>
          <w:sz w:val="20"/>
          <w:lang w:eastAsia="en-GB"/>
        </w:rPr>
        <w:t>e are critical to their success;</w:t>
      </w:r>
      <w:r w:rsidRPr="00A40960">
        <w:rPr>
          <w:b/>
          <w:sz w:val="20"/>
          <w:lang w:eastAsia="en-GB"/>
        </w:rPr>
        <w:t xml:space="preserve"> </w:t>
      </w:r>
      <w:r>
        <w:rPr>
          <w:b/>
          <w:sz w:val="20"/>
          <w:lang w:eastAsia="en-GB"/>
        </w:rPr>
        <w:t>f</w:t>
      </w:r>
      <w:r w:rsidRPr="00A40960">
        <w:rPr>
          <w:b/>
          <w:sz w:val="20"/>
          <w:lang w:eastAsia="en-GB"/>
        </w:rPr>
        <w:t xml:space="preserve">or example, </w:t>
      </w:r>
      <w:r w:rsidR="00434F5D">
        <w:rPr>
          <w:b/>
          <w:sz w:val="20"/>
          <w:lang w:eastAsia="en-GB"/>
        </w:rPr>
        <w:t xml:space="preserve">the </w:t>
      </w:r>
      <w:r w:rsidRPr="00A40960">
        <w:rPr>
          <w:b/>
          <w:sz w:val="20"/>
          <w:lang w:eastAsia="en-GB"/>
        </w:rPr>
        <w:t xml:space="preserve">timeline </w:t>
      </w:r>
      <w:r w:rsidR="00434F5D">
        <w:rPr>
          <w:b/>
          <w:sz w:val="20"/>
          <w:lang w:eastAsia="en-GB"/>
        </w:rPr>
        <w:t>of</w:t>
      </w:r>
      <w:r w:rsidRPr="00A40960">
        <w:rPr>
          <w:b/>
          <w:sz w:val="20"/>
          <w:lang w:eastAsia="en-GB"/>
        </w:rPr>
        <w:t xml:space="preserve"> each institution must mesh in a reasonable way.</w:t>
      </w:r>
      <w:r w:rsidR="00781044">
        <w:rPr>
          <w:b/>
          <w:sz w:val="20"/>
          <w:lang w:eastAsia="en-GB"/>
        </w:rPr>
        <w:t xml:space="preserve"> </w:t>
      </w:r>
      <w:r w:rsidRPr="00A40960">
        <w:rPr>
          <w:b/>
          <w:sz w:val="20"/>
          <w:lang w:eastAsia="en-GB"/>
        </w:rPr>
        <w:t xml:space="preserve">Similarly, while the </w:t>
      </w:r>
      <w:r w:rsidR="00434F5D">
        <w:rPr>
          <w:b/>
          <w:sz w:val="20"/>
          <w:lang w:eastAsia="en-GB"/>
        </w:rPr>
        <w:t>Agreement</w:t>
      </w:r>
      <w:r w:rsidRPr="00A40960">
        <w:rPr>
          <w:b/>
          <w:sz w:val="20"/>
          <w:lang w:eastAsia="en-GB"/>
        </w:rPr>
        <w:t xml:space="preserve"> stipulates a different appointment and selection procedure for staffing each institution, the institutions are </w:t>
      </w:r>
      <w:r w:rsidR="00434F5D">
        <w:rPr>
          <w:b/>
          <w:sz w:val="20"/>
          <w:lang w:eastAsia="en-GB"/>
        </w:rPr>
        <w:t>meant</w:t>
      </w:r>
      <w:r w:rsidRPr="00A40960">
        <w:rPr>
          <w:b/>
          <w:sz w:val="20"/>
          <w:lang w:eastAsia="en-GB"/>
        </w:rPr>
        <w:t xml:space="preserve"> to work as a coordinated whole; however, the current </w:t>
      </w:r>
      <w:r w:rsidR="00434F5D">
        <w:rPr>
          <w:b/>
          <w:sz w:val="20"/>
          <w:lang w:eastAsia="en-GB"/>
        </w:rPr>
        <w:t>draft</w:t>
      </w:r>
      <w:r w:rsidRPr="00A40960">
        <w:rPr>
          <w:b/>
          <w:sz w:val="20"/>
          <w:lang w:eastAsia="en-GB"/>
        </w:rPr>
        <w:t xml:space="preserve"> provides no incentive for retaining a group of people that can actually work together.</w:t>
      </w:r>
    </w:p>
    <w:p w:rsidR="00FF4737" w:rsidRPr="00356AA1" w:rsidRDefault="007C1927">
      <w:pPr>
        <w:pStyle w:val="SingleTxtG"/>
        <w:rPr>
          <w:b/>
          <w:sz w:val="20"/>
          <w:lang w:eastAsia="en-GB"/>
        </w:rPr>
      </w:pPr>
      <w:r w:rsidRPr="00356AA1">
        <w:rPr>
          <w:sz w:val="20"/>
          <w:lang w:eastAsia="en-GB"/>
        </w:rPr>
        <w:t>12</w:t>
      </w:r>
      <w:r w:rsidR="0042434E">
        <w:rPr>
          <w:sz w:val="20"/>
          <w:lang w:eastAsia="en-GB"/>
        </w:rPr>
        <w:t>1</w:t>
      </w:r>
      <w:r w:rsidRPr="00356AA1">
        <w:rPr>
          <w:sz w:val="20"/>
          <w:lang w:eastAsia="en-GB"/>
        </w:rPr>
        <w:t>.</w:t>
      </w:r>
      <w:r w:rsidRPr="00356AA1">
        <w:rPr>
          <w:b/>
          <w:sz w:val="20"/>
          <w:lang w:eastAsia="en-GB"/>
        </w:rPr>
        <w:tab/>
        <w:t>The overall challenge is ensur</w:t>
      </w:r>
      <w:r w:rsidR="00434F5D">
        <w:rPr>
          <w:b/>
          <w:sz w:val="20"/>
          <w:lang w:eastAsia="en-GB"/>
        </w:rPr>
        <w:t>ing</w:t>
      </w:r>
      <w:r w:rsidRPr="00356AA1">
        <w:rPr>
          <w:b/>
          <w:sz w:val="20"/>
          <w:lang w:eastAsia="en-GB"/>
        </w:rPr>
        <w:t xml:space="preserve"> that this complex institutional apparatus not only performs better than the earlier efforts it seeks to replace, but also delivers results, which earlier efforts did not envision, necessary for accounting</w:t>
      </w:r>
      <w:r w:rsidR="00434F5D">
        <w:rPr>
          <w:b/>
          <w:sz w:val="20"/>
          <w:lang w:eastAsia="en-GB"/>
        </w:rPr>
        <w:t xml:space="preserve"> for</w:t>
      </w:r>
      <w:r w:rsidRPr="00356AA1">
        <w:rPr>
          <w:b/>
          <w:sz w:val="20"/>
          <w:lang w:eastAsia="en-GB"/>
        </w:rPr>
        <w:t xml:space="preserve"> and redress</w:t>
      </w:r>
      <w:r w:rsidR="00434F5D">
        <w:rPr>
          <w:b/>
          <w:sz w:val="20"/>
          <w:lang w:eastAsia="en-GB"/>
        </w:rPr>
        <w:t>ing</w:t>
      </w:r>
      <w:r w:rsidRPr="00356AA1">
        <w:rPr>
          <w:b/>
          <w:sz w:val="20"/>
          <w:lang w:eastAsia="en-GB"/>
        </w:rPr>
        <w:t xml:space="preserve"> the past.</w:t>
      </w:r>
      <w:r w:rsidR="00781044">
        <w:rPr>
          <w:b/>
          <w:sz w:val="20"/>
          <w:lang w:eastAsia="en-GB"/>
        </w:rPr>
        <w:t xml:space="preserve"> </w:t>
      </w:r>
    </w:p>
    <w:p w:rsidR="00FF4737" w:rsidRPr="00356AA1" w:rsidRDefault="007C1927">
      <w:pPr>
        <w:pStyle w:val="SingleTxtG"/>
        <w:rPr>
          <w:b/>
          <w:sz w:val="20"/>
          <w:lang w:eastAsia="en-GB"/>
        </w:rPr>
      </w:pPr>
      <w:r w:rsidRPr="00356AA1">
        <w:rPr>
          <w:sz w:val="20"/>
          <w:lang w:eastAsia="en-GB"/>
        </w:rPr>
        <w:t>12</w:t>
      </w:r>
      <w:r w:rsidR="0042434E">
        <w:rPr>
          <w:sz w:val="20"/>
          <w:lang w:eastAsia="en-GB"/>
        </w:rPr>
        <w:t>2</w:t>
      </w:r>
      <w:r w:rsidRPr="00356AA1">
        <w:rPr>
          <w:sz w:val="20"/>
          <w:lang w:eastAsia="en-GB"/>
        </w:rPr>
        <w:t>.</w:t>
      </w:r>
      <w:r w:rsidRPr="00356AA1">
        <w:rPr>
          <w:b/>
          <w:sz w:val="20"/>
          <w:lang w:eastAsia="en-GB"/>
        </w:rPr>
        <w:tab/>
        <w:t xml:space="preserve">Aside from recommendations concerning the architecture proposed by </w:t>
      </w:r>
      <w:r w:rsidR="00434F5D">
        <w:rPr>
          <w:b/>
          <w:sz w:val="20"/>
          <w:lang w:eastAsia="en-GB"/>
        </w:rPr>
        <w:t>the Agreement</w:t>
      </w:r>
      <w:r w:rsidRPr="00356AA1">
        <w:rPr>
          <w:b/>
          <w:sz w:val="20"/>
          <w:lang w:eastAsia="en-GB"/>
        </w:rPr>
        <w:t>, the Special Rapporteur makes the recommendations</w:t>
      </w:r>
      <w:r w:rsidR="00434F5D">
        <w:rPr>
          <w:b/>
          <w:sz w:val="20"/>
          <w:lang w:eastAsia="en-GB"/>
        </w:rPr>
        <w:t xml:space="preserve"> below.</w:t>
      </w:r>
    </w:p>
    <w:p w:rsidR="00FF4737" w:rsidRPr="00356AA1" w:rsidRDefault="007C1927">
      <w:pPr>
        <w:pStyle w:val="SingleTxtG"/>
        <w:rPr>
          <w:b/>
          <w:sz w:val="20"/>
          <w:lang w:eastAsia="en-GB"/>
        </w:rPr>
      </w:pPr>
      <w:r w:rsidRPr="00356AA1">
        <w:rPr>
          <w:sz w:val="20"/>
          <w:lang w:eastAsia="en-GB"/>
        </w:rPr>
        <w:t>12</w:t>
      </w:r>
      <w:r w:rsidR="0042434E">
        <w:rPr>
          <w:sz w:val="20"/>
          <w:lang w:eastAsia="en-GB"/>
        </w:rPr>
        <w:t>3</w:t>
      </w:r>
      <w:r w:rsidRPr="00356AA1">
        <w:rPr>
          <w:sz w:val="20"/>
          <w:lang w:eastAsia="en-GB"/>
        </w:rPr>
        <w:t>.</w:t>
      </w:r>
      <w:r w:rsidRPr="00356AA1">
        <w:rPr>
          <w:b/>
          <w:sz w:val="20"/>
          <w:lang w:eastAsia="en-GB"/>
        </w:rPr>
        <w:tab/>
        <w:t xml:space="preserve">The surprising </w:t>
      </w:r>
      <w:r w:rsidR="00434F5D">
        <w:rPr>
          <w:b/>
          <w:sz w:val="20"/>
          <w:lang w:eastAsia="en-GB"/>
        </w:rPr>
        <w:t>shortfall</w:t>
      </w:r>
      <w:r w:rsidR="00434F5D" w:rsidRPr="00356AA1">
        <w:rPr>
          <w:b/>
          <w:sz w:val="20"/>
          <w:lang w:eastAsia="en-GB"/>
        </w:rPr>
        <w:t xml:space="preserve"> </w:t>
      </w:r>
      <w:r w:rsidRPr="00356AA1">
        <w:rPr>
          <w:b/>
          <w:sz w:val="20"/>
          <w:lang w:eastAsia="en-GB"/>
        </w:rPr>
        <w:t xml:space="preserve">in data </w:t>
      </w:r>
      <w:r w:rsidR="00434F5D">
        <w:rPr>
          <w:b/>
          <w:sz w:val="20"/>
          <w:lang w:eastAsia="en-GB"/>
        </w:rPr>
        <w:t>on</w:t>
      </w:r>
      <w:r w:rsidRPr="00356AA1">
        <w:rPr>
          <w:b/>
          <w:sz w:val="20"/>
          <w:lang w:eastAsia="en-GB"/>
        </w:rPr>
        <w:t xml:space="preserve"> virtually all aspects relating to truth, justice and reparation </w:t>
      </w:r>
      <w:r w:rsidR="00627BD7">
        <w:rPr>
          <w:b/>
          <w:sz w:val="20"/>
          <w:lang w:eastAsia="en-GB"/>
        </w:rPr>
        <w:t>should</w:t>
      </w:r>
      <w:r w:rsidRPr="00356AA1">
        <w:rPr>
          <w:b/>
          <w:sz w:val="20"/>
          <w:lang w:eastAsia="en-GB"/>
        </w:rPr>
        <w:t xml:space="preserve"> be addressed. Lack of data informing assessments of costs, distribution and effectiveness fuel charges of partiality and do not contribute to clarity regarding necessary additional efforts. The U</w:t>
      </w:r>
      <w:r w:rsidR="00434F5D">
        <w:rPr>
          <w:b/>
          <w:sz w:val="20"/>
          <w:lang w:eastAsia="en-GB"/>
        </w:rPr>
        <w:t xml:space="preserve">nited </w:t>
      </w:r>
      <w:r w:rsidRPr="00356AA1">
        <w:rPr>
          <w:b/>
          <w:sz w:val="20"/>
          <w:lang w:eastAsia="en-GB"/>
        </w:rPr>
        <w:t>K</w:t>
      </w:r>
      <w:r w:rsidR="00434F5D">
        <w:rPr>
          <w:b/>
          <w:sz w:val="20"/>
          <w:lang w:eastAsia="en-GB"/>
        </w:rPr>
        <w:t>ingdom</w:t>
      </w:r>
      <w:r w:rsidRPr="00356AA1">
        <w:rPr>
          <w:b/>
          <w:sz w:val="20"/>
          <w:lang w:eastAsia="en-GB"/>
        </w:rPr>
        <w:t xml:space="preserve"> has </w:t>
      </w:r>
      <w:r w:rsidR="00434F5D">
        <w:rPr>
          <w:b/>
          <w:sz w:val="20"/>
          <w:lang w:eastAsia="en-GB"/>
        </w:rPr>
        <w:t xml:space="preserve">the </w:t>
      </w:r>
      <w:r w:rsidRPr="00356AA1">
        <w:rPr>
          <w:b/>
          <w:sz w:val="20"/>
          <w:lang w:eastAsia="en-GB"/>
        </w:rPr>
        <w:t>institutional means to compile such information.</w:t>
      </w:r>
      <w:r w:rsidR="00781044">
        <w:rPr>
          <w:b/>
          <w:sz w:val="20"/>
          <w:lang w:eastAsia="en-GB"/>
        </w:rPr>
        <w:t xml:space="preserve"> </w:t>
      </w:r>
    </w:p>
    <w:p w:rsidR="00FF4737" w:rsidRPr="00356AA1" w:rsidRDefault="007C1927">
      <w:pPr>
        <w:pStyle w:val="SingleTxtG"/>
        <w:rPr>
          <w:b/>
          <w:sz w:val="20"/>
          <w:lang w:eastAsia="en-GB"/>
        </w:rPr>
      </w:pPr>
      <w:r w:rsidRPr="00356AA1">
        <w:rPr>
          <w:sz w:val="20"/>
          <w:lang w:eastAsia="en-GB"/>
        </w:rPr>
        <w:t>12</w:t>
      </w:r>
      <w:r w:rsidR="0042434E">
        <w:rPr>
          <w:sz w:val="20"/>
          <w:lang w:eastAsia="en-GB"/>
        </w:rPr>
        <w:t>4</w:t>
      </w:r>
      <w:r w:rsidRPr="00356AA1">
        <w:rPr>
          <w:sz w:val="20"/>
          <w:lang w:eastAsia="en-GB"/>
        </w:rPr>
        <w:t>.</w:t>
      </w:r>
      <w:r w:rsidRPr="00356AA1">
        <w:rPr>
          <w:b/>
          <w:sz w:val="20"/>
          <w:lang w:eastAsia="en-GB"/>
        </w:rPr>
        <w:tab/>
      </w:r>
      <w:r w:rsidR="00434F5D">
        <w:rPr>
          <w:b/>
          <w:sz w:val="20"/>
          <w:lang w:eastAsia="en-GB"/>
        </w:rPr>
        <w:t>The p</w:t>
      </w:r>
      <w:r w:rsidRPr="00356AA1">
        <w:rPr>
          <w:b/>
          <w:sz w:val="20"/>
          <w:lang w:eastAsia="en-GB"/>
        </w:rPr>
        <w:t xml:space="preserve">roposals made by the Lord Chief Justice of </w:t>
      </w:r>
      <w:r w:rsidR="00CC2F54" w:rsidRPr="00356AA1">
        <w:rPr>
          <w:b/>
          <w:sz w:val="20"/>
        </w:rPr>
        <w:t>Northern Ireland</w:t>
      </w:r>
      <w:r w:rsidR="00CE5AF1" w:rsidRPr="00356AA1">
        <w:rPr>
          <w:sz w:val="20"/>
        </w:rPr>
        <w:t xml:space="preserve"> </w:t>
      </w:r>
      <w:r w:rsidRPr="00356AA1">
        <w:rPr>
          <w:b/>
          <w:sz w:val="20"/>
          <w:lang w:eastAsia="en-GB"/>
        </w:rPr>
        <w:t xml:space="preserve">to improve the efficacy of </w:t>
      </w:r>
      <w:r w:rsidR="00F85B8A">
        <w:rPr>
          <w:b/>
          <w:sz w:val="20"/>
          <w:lang w:eastAsia="en-GB"/>
        </w:rPr>
        <w:t>c</w:t>
      </w:r>
      <w:r w:rsidRPr="00356AA1">
        <w:rPr>
          <w:b/>
          <w:sz w:val="20"/>
          <w:lang w:eastAsia="en-GB"/>
        </w:rPr>
        <w:t xml:space="preserve">oroner </w:t>
      </w:r>
      <w:r w:rsidR="00F85B8A">
        <w:rPr>
          <w:b/>
          <w:sz w:val="20"/>
          <w:lang w:eastAsia="en-GB"/>
        </w:rPr>
        <w:t>i</w:t>
      </w:r>
      <w:r w:rsidRPr="00356AA1">
        <w:rPr>
          <w:b/>
          <w:sz w:val="20"/>
          <w:lang w:eastAsia="en-GB"/>
        </w:rPr>
        <w:t>nquests should be supported.</w:t>
      </w:r>
      <w:r w:rsidR="00781044">
        <w:rPr>
          <w:b/>
          <w:sz w:val="20"/>
          <w:lang w:eastAsia="en-GB"/>
        </w:rPr>
        <w:t xml:space="preserve"> </w:t>
      </w:r>
    </w:p>
    <w:p w:rsidR="00FF4737" w:rsidRPr="00356AA1" w:rsidRDefault="007C1927">
      <w:pPr>
        <w:pStyle w:val="SingleTxtG"/>
        <w:rPr>
          <w:b/>
          <w:sz w:val="20"/>
        </w:rPr>
      </w:pPr>
      <w:r w:rsidRPr="00356AA1">
        <w:rPr>
          <w:sz w:val="20"/>
        </w:rPr>
        <w:t>12</w:t>
      </w:r>
      <w:r w:rsidR="0042434E">
        <w:rPr>
          <w:sz w:val="20"/>
        </w:rPr>
        <w:t>5</w:t>
      </w:r>
      <w:r w:rsidRPr="00356AA1">
        <w:rPr>
          <w:sz w:val="20"/>
        </w:rPr>
        <w:t>.</w:t>
      </w:r>
      <w:r w:rsidRPr="00356AA1">
        <w:rPr>
          <w:b/>
          <w:sz w:val="20"/>
        </w:rPr>
        <w:tab/>
      </w:r>
      <w:r w:rsidR="008A5AB1">
        <w:rPr>
          <w:b/>
          <w:sz w:val="20"/>
        </w:rPr>
        <w:t xml:space="preserve">The </w:t>
      </w:r>
      <w:r w:rsidRPr="00356AA1">
        <w:rPr>
          <w:b/>
          <w:sz w:val="20"/>
        </w:rPr>
        <w:t xml:space="preserve">structural and systemic dimensions of violence and rights violations and abuses </w:t>
      </w:r>
      <w:r w:rsidR="008A5AB1">
        <w:rPr>
          <w:b/>
          <w:sz w:val="20"/>
        </w:rPr>
        <w:t>should</w:t>
      </w:r>
      <w:r w:rsidR="008A5AB1" w:rsidRPr="00356AA1">
        <w:rPr>
          <w:b/>
          <w:sz w:val="20"/>
        </w:rPr>
        <w:t xml:space="preserve"> </w:t>
      </w:r>
      <w:r w:rsidR="008A5AB1">
        <w:rPr>
          <w:b/>
          <w:sz w:val="20"/>
        </w:rPr>
        <w:t>be e</w:t>
      </w:r>
      <w:r w:rsidR="008A5AB1" w:rsidRPr="00615221">
        <w:rPr>
          <w:b/>
          <w:sz w:val="20"/>
        </w:rPr>
        <w:t>xamin</w:t>
      </w:r>
      <w:r w:rsidR="008A5AB1">
        <w:rPr>
          <w:b/>
          <w:sz w:val="20"/>
        </w:rPr>
        <w:t>ed</w:t>
      </w:r>
      <w:r w:rsidRPr="00356AA1">
        <w:rPr>
          <w:b/>
          <w:sz w:val="20"/>
        </w:rPr>
        <w:t xml:space="preserve">. </w:t>
      </w:r>
      <w:r w:rsidR="008A5AB1">
        <w:rPr>
          <w:b/>
          <w:sz w:val="20"/>
        </w:rPr>
        <w:t>A c</w:t>
      </w:r>
      <w:r w:rsidRPr="00356AA1">
        <w:rPr>
          <w:b/>
          <w:sz w:val="20"/>
        </w:rPr>
        <w:t xml:space="preserve">omprehensive understanding of the past requires instruments that do not treat </w:t>
      </w:r>
      <w:r w:rsidR="000D7DB5">
        <w:rPr>
          <w:b/>
          <w:sz w:val="20"/>
        </w:rPr>
        <w:t>it</w:t>
      </w:r>
      <w:r w:rsidRPr="00356AA1">
        <w:rPr>
          <w:b/>
          <w:sz w:val="20"/>
        </w:rPr>
        <w:t xml:space="preserve"> merely as a series of unconnected events.</w:t>
      </w:r>
    </w:p>
    <w:p w:rsidR="00FF4737" w:rsidRPr="00356AA1" w:rsidRDefault="007C1927">
      <w:pPr>
        <w:pStyle w:val="SingleTxtG"/>
        <w:rPr>
          <w:b/>
          <w:sz w:val="20"/>
        </w:rPr>
      </w:pPr>
      <w:r w:rsidRPr="00356AA1">
        <w:rPr>
          <w:sz w:val="20"/>
        </w:rPr>
        <w:t>12</w:t>
      </w:r>
      <w:r w:rsidR="0042434E">
        <w:rPr>
          <w:sz w:val="20"/>
        </w:rPr>
        <w:t>6</w:t>
      </w:r>
      <w:r w:rsidRPr="00356AA1">
        <w:rPr>
          <w:sz w:val="20"/>
        </w:rPr>
        <w:t>.</w:t>
      </w:r>
      <w:r w:rsidRPr="00356AA1">
        <w:rPr>
          <w:sz w:val="20"/>
        </w:rPr>
        <w:tab/>
      </w:r>
      <w:r w:rsidRPr="00356AA1">
        <w:rPr>
          <w:b/>
          <w:sz w:val="20"/>
        </w:rPr>
        <w:t xml:space="preserve">Truth, justice and reparation initiatives </w:t>
      </w:r>
      <w:r w:rsidR="008A5AB1">
        <w:rPr>
          <w:b/>
          <w:sz w:val="20"/>
        </w:rPr>
        <w:t>should</w:t>
      </w:r>
      <w:r w:rsidRPr="00356AA1">
        <w:rPr>
          <w:b/>
          <w:sz w:val="20"/>
        </w:rPr>
        <w:t xml:space="preserve"> expand their focus beyond cases leading to death to address violations and abuses largely excluded from their ambit</w:t>
      </w:r>
      <w:r w:rsidR="008A5AB1">
        <w:rPr>
          <w:b/>
          <w:sz w:val="20"/>
        </w:rPr>
        <w:t>,</w:t>
      </w:r>
      <w:r w:rsidRPr="00356AA1">
        <w:rPr>
          <w:b/>
          <w:sz w:val="20"/>
        </w:rPr>
        <w:t xml:space="preserve"> including torture, sexual harm, disappearance and illegal detention. </w:t>
      </w:r>
    </w:p>
    <w:p w:rsidR="00FF4737" w:rsidRPr="00356AA1" w:rsidRDefault="007C1927">
      <w:pPr>
        <w:pStyle w:val="SingleTxtG"/>
        <w:rPr>
          <w:b/>
          <w:sz w:val="20"/>
        </w:rPr>
      </w:pPr>
      <w:r w:rsidRPr="00356AA1">
        <w:rPr>
          <w:sz w:val="20"/>
        </w:rPr>
        <w:t>12</w:t>
      </w:r>
      <w:r w:rsidR="0042434E">
        <w:rPr>
          <w:sz w:val="20"/>
        </w:rPr>
        <w:t>7</w:t>
      </w:r>
      <w:r w:rsidRPr="00356AA1">
        <w:rPr>
          <w:sz w:val="20"/>
        </w:rPr>
        <w:t>.</w:t>
      </w:r>
      <w:r w:rsidRPr="00356AA1">
        <w:rPr>
          <w:b/>
          <w:sz w:val="20"/>
        </w:rPr>
        <w:tab/>
        <w:t xml:space="preserve">All future truth-seeking and justice arrangements </w:t>
      </w:r>
      <w:r w:rsidR="008A5AB1">
        <w:rPr>
          <w:b/>
          <w:sz w:val="20"/>
        </w:rPr>
        <w:t>should</w:t>
      </w:r>
      <w:r w:rsidR="008A5AB1" w:rsidRPr="00356AA1">
        <w:rPr>
          <w:b/>
          <w:sz w:val="20"/>
        </w:rPr>
        <w:t xml:space="preserve"> </w:t>
      </w:r>
      <w:r w:rsidRPr="00356AA1">
        <w:rPr>
          <w:b/>
          <w:sz w:val="20"/>
        </w:rPr>
        <w:t xml:space="preserve">incorporate procedures to guarantee both the reality and appearance of independence and </w:t>
      </w:r>
      <w:r w:rsidRPr="00356AA1">
        <w:rPr>
          <w:b/>
          <w:sz w:val="20"/>
        </w:rPr>
        <w:lastRenderedPageBreak/>
        <w:t>impartiality.</w:t>
      </w:r>
      <w:r w:rsidR="0042434E">
        <w:rPr>
          <w:b/>
          <w:sz w:val="20"/>
        </w:rPr>
        <w:t xml:space="preserve"> </w:t>
      </w:r>
      <w:r w:rsidR="008A5AB1" w:rsidRPr="005A4D6E">
        <w:rPr>
          <w:b/>
          <w:sz w:val="20"/>
        </w:rPr>
        <w:t xml:space="preserve">Similarly, they </w:t>
      </w:r>
      <w:r w:rsidR="008A5AB1">
        <w:rPr>
          <w:b/>
          <w:sz w:val="20"/>
        </w:rPr>
        <w:t>should</w:t>
      </w:r>
      <w:r w:rsidR="008A5AB1" w:rsidRPr="005A4D6E">
        <w:rPr>
          <w:b/>
          <w:sz w:val="20"/>
        </w:rPr>
        <w:t xml:space="preserve"> be funded in a reliable way that guarantees independence and effectiveness, and allows for long-term planning.</w:t>
      </w:r>
      <w:r w:rsidR="00781044">
        <w:rPr>
          <w:b/>
          <w:sz w:val="20"/>
        </w:rPr>
        <w:t xml:space="preserve"> </w:t>
      </w:r>
    </w:p>
    <w:p w:rsidR="00FF4737" w:rsidRPr="00356AA1" w:rsidRDefault="007C1927">
      <w:pPr>
        <w:pStyle w:val="SingleTxtG"/>
        <w:rPr>
          <w:b/>
          <w:sz w:val="20"/>
        </w:rPr>
      </w:pPr>
      <w:r w:rsidRPr="00356AA1">
        <w:rPr>
          <w:sz w:val="20"/>
        </w:rPr>
        <w:t>128.</w:t>
      </w:r>
      <w:r w:rsidRPr="00356AA1">
        <w:rPr>
          <w:sz w:val="20"/>
        </w:rPr>
        <w:tab/>
      </w:r>
      <w:r w:rsidRPr="00356AA1">
        <w:rPr>
          <w:b/>
          <w:sz w:val="20"/>
        </w:rPr>
        <w:t xml:space="preserve">Adjudicating issues concerning disclosure is central to the credibility of truth and justice initiatives. </w:t>
      </w:r>
      <w:r w:rsidR="008A5AB1">
        <w:rPr>
          <w:b/>
          <w:sz w:val="20"/>
        </w:rPr>
        <w:t xml:space="preserve">The </w:t>
      </w:r>
      <w:r w:rsidRPr="00356AA1">
        <w:rPr>
          <w:b/>
          <w:sz w:val="20"/>
        </w:rPr>
        <w:t xml:space="preserve">use of </w:t>
      </w:r>
      <w:r w:rsidR="008A5AB1">
        <w:rPr>
          <w:b/>
          <w:sz w:val="20"/>
        </w:rPr>
        <w:t>“</w:t>
      </w:r>
      <w:r w:rsidRPr="00356AA1">
        <w:rPr>
          <w:b/>
          <w:sz w:val="20"/>
        </w:rPr>
        <w:t>national security</w:t>
      </w:r>
      <w:r w:rsidR="008A5AB1">
        <w:rPr>
          <w:b/>
          <w:sz w:val="20"/>
        </w:rPr>
        <w:t>”</w:t>
      </w:r>
      <w:r w:rsidRPr="00356AA1">
        <w:rPr>
          <w:b/>
          <w:sz w:val="20"/>
        </w:rPr>
        <w:t xml:space="preserve"> as a blanket term </w:t>
      </w:r>
      <w:r w:rsidR="008A5AB1">
        <w:rPr>
          <w:b/>
          <w:sz w:val="20"/>
        </w:rPr>
        <w:t>should</w:t>
      </w:r>
      <w:r w:rsidRPr="00356AA1">
        <w:rPr>
          <w:b/>
          <w:sz w:val="20"/>
        </w:rPr>
        <w:t xml:space="preserve"> be avoided in order to make transparent past practices </w:t>
      </w:r>
      <w:r w:rsidR="008A5AB1">
        <w:rPr>
          <w:b/>
          <w:sz w:val="20"/>
        </w:rPr>
        <w:t>that were</w:t>
      </w:r>
      <w:r w:rsidRPr="00356AA1">
        <w:rPr>
          <w:b/>
          <w:sz w:val="20"/>
        </w:rPr>
        <w:t xml:space="preserve">, retrospectively, illegal under national and international law and of dubious effectiveness in furthering security. The </w:t>
      </w:r>
      <w:r w:rsidR="008A5AB1">
        <w:rPr>
          <w:b/>
          <w:sz w:val="20"/>
        </w:rPr>
        <w:t>Special Rapporteur encourages the G</w:t>
      </w:r>
      <w:r w:rsidRPr="00356AA1">
        <w:rPr>
          <w:b/>
          <w:sz w:val="20"/>
        </w:rPr>
        <w:t xml:space="preserve">overnment to work with academic and </w:t>
      </w:r>
      <w:r w:rsidR="00F85B8A">
        <w:rPr>
          <w:b/>
          <w:sz w:val="20"/>
        </w:rPr>
        <w:t>non-governmental</w:t>
      </w:r>
      <w:r w:rsidR="00F85B8A" w:rsidRPr="00356AA1">
        <w:rPr>
          <w:b/>
          <w:sz w:val="20"/>
        </w:rPr>
        <w:t xml:space="preserve"> </w:t>
      </w:r>
      <w:r w:rsidRPr="00356AA1">
        <w:rPr>
          <w:b/>
          <w:sz w:val="20"/>
        </w:rPr>
        <w:t xml:space="preserve">experts to devise an approach that makes disclosure practices human rights and constitutionally compliant. </w:t>
      </w:r>
    </w:p>
    <w:p w:rsidR="00FF4737" w:rsidRPr="00356AA1" w:rsidRDefault="007C1927">
      <w:pPr>
        <w:pStyle w:val="SingleTxtG"/>
        <w:rPr>
          <w:b/>
          <w:sz w:val="20"/>
        </w:rPr>
      </w:pPr>
      <w:r w:rsidRPr="00356AA1">
        <w:rPr>
          <w:sz w:val="20"/>
        </w:rPr>
        <w:t>129.</w:t>
      </w:r>
      <w:r w:rsidRPr="00356AA1">
        <w:rPr>
          <w:b/>
          <w:sz w:val="20"/>
        </w:rPr>
        <w:tab/>
      </w:r>
      <w:r w:rsidR="00332352">
        <w:rPr>
          <w:b/>
          <w:sz w:val="20"/>
        </w:rPr>
        <w:t>N</w:t>
      </w:r>
      <w:r w:rsidRPr="00356AA1">
        <w:rPr>
          <w:b/>
          <w:sz w:val="20"/>
        </w:rPr>
        <w:t>ational security, in accordance with both national and international obligations, may only be served within the limits of the law, and allowing for adequate means of comprehensive redress in cases of breach of obligations.</w:t>
      </w:r>
    </w:p>
    <w:p w:rsidR="00FF4737" w:rsidRPr="00356AA1" w:rsidRDefault="007C1927">
      <w:pPr>
        <w:pStyle w:val="SingleTxtG"/>
        <w:rPr>
          <w:b/>
          <w:sz w:val="20"/>
        </w:rPr>
      </w:pPr>
      <w:r w:rsidRPr="00356AA1">
        <w:rPr>
          <w:sz w:val="20"/>
        </w:rPr>
        <w:t>130.</w:t>
      </w:r>
      <w:r w:rsidRPr="00356AA1">
        <w:rPr>
          <w:sz w:val="20"/>
        </w:rPr>
        <w:tab/>
      </w:r>
      <w:r w:rsidRPr="00356AA1">
        <w:rPr>
          <w:b/>
          <w:sz w:val="20"/>
        </w:rPr>
        <w:t xml:space="preserve">Reparations for victims </w:t>
      </w:r>
      <w:r w:rsidR="00BD6E56">
        <w:rPr>
          <w:b/>
          <w:sz w:val="20"/>
        </w:rPr>
        <w:t>should</w:t>
      </w:r>
      <w:r w:rsidRPr="00356AA1">
        <w:rPr>
          <w:b/>
          <w:sz w:val="20"/>
        </w:rPr>
        <w:t xml:space="preserve"> be tackled serious</w:t>
      </w:r>
      <w:r w:rsidR="000D7DB5">
        <w:rPr>
          <w:b/>
          <w:sz w:val="20"/>
        </w:rPr>
        <w:t>ly</w:t>
      </w:r>
      <w:r w:rsidRPr="00356AA1">
        <w:rPr>
          <w:b/>
          <w:sz w:val="20"/>
        </w:rPr>
        <w:t xml:space="preserve"> and systematic</w:t>
      </w:r>
      <w:r w:rsidR="000D7DB5">
        <w:rPr>
          <w:b/>
          <w:sz w:val="20"/>
        </w:rPr>
        <w:t>ally</w:t>
      </w:r>
      <w:r w:rsidRPr="00356AA1">
        <w:rPr>
          <w:b/>
          <w:sz w:val="20"/>
        </w:rPr>
        <w:t xml:space="preserve">. It is unclear whether </w:t>
      </w:r>
      <w:r w:rsidR="00BD6E56">
        <w:rPr>
          <w:b/>
          <w:sz w:val="20"/>
        </w:rPr>
        <w:t xml:space="preserve">the </w:t>
      </w:r>
      <w:r w:rsidRPr="00356AA1">
        <w:rPr>
          <w:b/>
          <w:sz w:val="20"/>
        </w:rPr>
        <w:t xml:space="preserve">conflation of </w:t>
      </w:r>
      <w:r w:rsidR="000F7FEB">
        <w:rPr>
          <w:b/>
          <w:sz w:val="20"/>
        </w:rPr>
        <w:t xml:space="preserve">eligibility </w:t>
      </w:r>
      <w:r w:rsidRPr="00356AA1">
        <w:rPr>
          <w:b/>
          <w:sz w:val="20"/>
        </w:rPr>
        <w:t xml:space="preserve">criteria and </w:t>
      </w:r>
      <w:r w:rsidR="000F7FEB">
        <w:rPr>
          <w:b/>
          <w:sz w:val="20"/>
        </w:rPr>
        <w:t xml:space="preserve">the </w:t>
      </w:r>
      <w:r w:rsidRPr="00356AA1">
        <w:rPr>
          <w:b/>
          <w:sz w:val="20"/>
        </w:rPr>
        <w:t xml:space="preserve">ends of reparations, demobilization and a general safety net have </w:t>
      </w:r>
      <w:r w:rsidR="000F7FEB">
        <w:rPr>
          <w:b/>
          <w:sz w:val="20"/>
        </w:rPr>
        <w:t xml:space="preserve">delivered an </w:t>
      </w:r>
      <w:r w:rsidRPr="00356AA1">
        <w:rPr>
          <w:b/>
          <w:sz w:val="20"/>
        </w:rPr>
        <w:t xml:space="preserve">ideal </w:t>
      </w:r>
      <w:r w:rsidR="000F7FEB">
        <w:rPr>
          <w:b/>
          <w:sz w:val="20"/>
        </w:rPr>
        <w:t>outcome</w:t>
      </w:r>
      <w:r w:rsidRPr="00356AA1">
        <w:rPr>
          <w:b/>
          <w:sz w:val="20"/>
        </w:rPr>
        <w:t>. Reparation involves an acknowledgment of responsibility (which is not the same as criminal guilt).</w:t>
      </w:r>
      <w:r w:rsidR="00781044">
        <w:rPr>
          <w:b/>
          <w:sz w:val="20"/>
        </w:rPr>
        <w:t xml:space="preserve"> </w:t>
      </w:r>
      <w:r w:rsidRPr="00356AA1">
        <w:rPr>
          <w:b/>
          <w:sz w:val="20"/>
        </w:rPr>
        <w:t>Beneficiaries qualify for program</w:t>
      </w:r>
      <w:r w:rsidR="00BD6E56">
        <w:rPr>
          <w:b/>
          <w:sz w:val="20"/>
        </w:rPr>
        <w:t>me</w:t>
      </w:r>
      <w:r w:rsidRPr="00356AA1">
        <w:rPr>
          <w:b/>
          <w:sz w:val="20"/>
        </w:rPr>
        <w:t xml:space="preserve">s solely on </w:t>
      </w:r>
      <w:r w:rsidR="00BD6E56">
        <w:rPr>
          <w:b/>
          <w:sz w:val="20"/>
        </w:rPr>
        <w:t xml:space="preserve">the basis of a </w:t>
      </w:r>
      <w:r w:rsidRPr="00356AA1">
        <w:rPr>
          <w:b/>
          <w:sz w:val="20"/>
        </w:rPr>
        <w:t xml:space="preserve">violation of their rights. Regardless, the issue concerning pensions for almost 500 seriously injured victims </w:t>
      </w:r>
      <w:r w:rsidR="00BD6E56">
        <w:rPr>
          <w:b/>
          <w:sz w:val="20"/>
        </w:rPr>
        <w:t xml:space="preserve">urgently </w:t>
      </w:r>
      <w:r w:rsidRPr="00356AA1">
        <w:rPr>
          <w:b/>
          <w:sz w:val="20"/>
        </w:rPr>
        <w:t xml:space="preserve">needs resolution. </w:t>
      </w:r>
    </w:p>
    <w:p w:rsidR="00FF4737" w:rsidRPr="00356AA1" w:rsidRDefault="007C1927">
      <w:pPr>
        <w:pStyle w:val="SingleTxtG"/>
        <w:rPr>
          <w:b/>
          <w:sz w:val="20"/>
        </w:rPr>
      </w:pPr>
      <w:r w:rsidRPr="00356AA1">
        <w:rPr>
          <w:sz w:val="20"/>
        </w:rPr>
        <w:t>131.</w:t>
      </w:r>
      <w:r w:rsidRPr="00356AA1">
        <w:rPr>
          <w:b/>
          <w:sz w:val="20"/>
        </w:rPr>
        <w:tab/>
      </w:r>
      <w:r w:rsidR="00BD6E56">
        <w:rPr>
          <w:b/>
          <w:sz w:val="20"/>
        </w:rPr>
        <w:t>D</w:t>
      </w:r>
      <w:r w:rsidRPr="00356AA1">
        <w:rPr>
          <w:b/>
          <w:sz w:val="20"/>
        </w:rPr>
        <w:t>emobilized</w:t>
      </w:r>
      <w:r w:rsidR="00BD6E56">
        <w:rPr>
          <w:b/>
          <w:sz w:val="20"/>
        </w:rPr>
        <w:t xml:space="preserve"> persons</w:t>
      </w:r>
      <w:r w:rsidRPr="00356AA1">
        <w:rPr>
          <w:b/>
          <w:sz w:val="20"/>
        </w:rPr>
        <w:t xml:space="preserve">, many of whom have made important contributions to maintaining peace, need </w:t>
      </w:r>
      <w:r w:rsidR="00BD6E56">
        <w:rPr>
          <w:b/>
          <w:sz w:val="20"/>
        </w:rPr>
        <w:t>ongoing</w:t>
      </w:r>
      <w:r w:rsidR="00BD6E56" w:rsidRPr="00356AA1">
        <w:rPr>
          <w:b/>
          <w:sz w:val="20"/>
        </w:rPr>
        <w:t xml:space="preserve"> </w:t>
      </w:r>
      <w:r w:rsidRPr="00356AA1">
        <w:rPr>
          <w:b/>
          <w:sz w:val="20"/>
        </w:rPr>
        <w:t xml:space="preserve">support. It is also crucial to ensure that the discriminatory </w:t>
      </w:r>
      <w:r w:rsidR="00BD6E56">
        <w:rPr>
          <w:b/>
          <w:sz w:val="20"/>
        </w:rPr>
        <w:t>barriers</w:t>
      </w:r>
      <w:r w:rsidRPr="00356AA1">
        <w:rPr>
          <w:b/>
          <w:sz w:val="20"/>
        </w:rPr>
        <w:t xml:space="preserve"> to reintegration are eliminated, as recommended by the Fresh Start Panel.</w:t>
      </w:r>
      <w:r w:rsidR="00781044">
        <w:rPr>
          <w:b/>
          <w:sz w:val="20"/>
        </w:rPr>
        <w:t xml:space="preserve"> </w:t>
      </w:r>
    </w:p>
    <w:p w:rsidR="00FF4737" w:rsidRPr="00356AA1" w:rsidRDefault="007C1927">
      <w:pPr>
        <w:pStyle w:val="SingleTxtG"/>
        <w:rPr>
          <w:b/>
          <w:sz w:val="20"/>
        </w:rPr>
      </w:pPr>
      <w:r w:rsidRPr="00356AA1">
        <w:rPr>
          <w:sz w:val="20"/>
        </w:rPr>
        <w:t>132.</w:t>
      </w:r>
      <w:r w:rsidRPr="00356AA1">
        <w:rPr>
          <w:b/>
          <w:sz w:val="20"/>
        </w:rPr>
        <w:tab/>
        <w:t>Variations in the model of service</w:t>
      </w:r>
      <w:r w:rsidR="00BD6E56">
        <w:rPr>
          <w:b/>
          <w:sz w:val="20"/>
        </w:rPr>
        <w:t>s</w:t>
      </w:r>
      <w:r w:rsidRPr="00356AA1">
        <w:rPr>
          <w:b/>
          <w:sz w:val="20"/>
        </w:rPr>
        <w:t xml:space="preserve"> to victims should be considered, including giving increased support to organizations that make </w:t>
      </w:r>
      <w:r w:rsidR="00BD6E56">
        <w:rPr>
          <w:b/>
          <w:sz w:val="20"/>
        </w:rPr>
        <w:t xml:space="preserve">an </w:t>
      </w:r>
      <w:r w:rsidRPr="00356AA1">
        <w:rPr>
          <w:b/>
          <w:sz w:val="20"/>
        </w:rPr>
        <w:t>effort to build bridges between communities and victims’ groups.</w:t>
      </w:r>
      <w:r w:rsidR="00781044">
        <w:rPr>
          <w:b/>
          <w:sz w:val="20"/>
        </w:rPr>
        <w:t xml:space="preserve"> </w:t>
      </w:r>
    </w:p>
    <w:p w:rsidR="00FF4737" w:rsidRPr="00356AA1" w:rsidRDefault="007C1927">
      <w:pPr>
        <w:pStyle w:val="SingleTxtG"/>
        <w:rPr>
          <w:b/>
          <w:sz w:val="20"/>
        </w:rPr>
      </w:pPr>
      <w:r w:rsidRPr="00356AA1">
        <w:rPr>
          <w:sz w:val="20"/>
        </w:rPr>
        <w:t>133.</w:t>
      </w:r>
      <w:r w:rsidRPr="00356AA1">
        <w:rPr>
          <w:sz w:val="20"/>
        </w:rPr>
        <w:tab/>
      </w:r>
      <w:r w:rsidR="00BD6E56">
        <w:rPr>
          <w:b/>
          <w:sz w:val="20"/>
        </w:rPr>
        <w:t>T</w:t>
      </w:r>
      <w:r w:rsidR="00BD6E56" w:rsidRPr="004E1D76">
        <w:rPr>
          <w:b/>
          <w:sz w:val="20"/>
        </w:rPr>
        <w:t xml:space="preserve">he Special Rapporteur calls </w:t>
      </w:r>
      <w:r w:rsidR="00BD6E56">
        <w:rPr>
          <w:b/>
          <w:sz w:val="20"/>
        </w:rPr>
        <w:t>upon</w:t>
      </w:r>
      <w:r w:rsidRPr="00356AA1">
        <w:rPr>
          <w:b/>
          <w:sz w:val="20"/>
        </w:rPr>
        <w:t xml:space="preserve"> civil society organizations in general and </w:t>
      </w:r>
      <w:r w:rsidR="00BD6E56">
        <w:rPr>
          <w:b/>
          <w:sz w:val="20"/>
        </w:rPr>
        <w:t>non-governmental organizations</w:t>
      </w:r>
      <w:r w:rsidR="00BD6E56" w:rsidRPr="00356AA1">
        <w:rPr>
          <w:b/>
          <w:sz w:val="20"/>
        </w:rPr>
        <w:t xml:space="preserve"> </w:t>
      </w:r>
      <w:r w:rsidRPr="00356AA1">
        <w:rPr>
          <w:b/>
          <w:sz w:val="20"/>
        </w:rPr>
        <w:t xml:space="preserve">in particular to </w:t>
      </w:r>
      <w:r w:rsidR="005C4045">
        <w:rPr>
          <w:b/>
          <w:sz w:val="20"/>
        </w:rPr>
        <w:t xml:space="preserve">consider whether continued </w:t>
      </w:r>
      <w:r w:rsidR="00BD6E56">
        <w:rPr>
          <w:b/>
          <w:sz w:val="20"/>
        </w:rPr>
        <w:t xml:space="preserve">focus on </w:t>
      </w:r>
      <w:r w:rsidR="005C4045">
        <w:rPr>
          <w:b/>
          <w:sz w:val="20"/>
        </w:rPr>
        <w:t>particular groups of</w:t>
      </w:r>
      <w:r w:rsidRPr="00356AA1">
        <w:rPr>
          <w:b/>
          <w:sz w:val="20"/>
        </w:rPr>
        <w:t xml:space="preserve"> victims</w:t>
      </w:r>
      <w:r w:rsidR="005C4045">
        <w:rPr>
          <w:b/>
          <w:sz w:val="20"/>
        </w:rPr>
        <w:t xml:space="preserve"> should not, decades after the end of the conflict, give way to a focus on all victims</w:t>
      </w:r>
      <w:r w:rsidRPr="00356AA1">
        <w:rPr>
          <w:b/>
          <w:sz w:val="20"/>
        </w:rPr>
        <w:t xml:space="preserve">, </w:t>
      </w:r>
      <w:r w:rsidR="00BD6E56">
        <w:rPr>
          <w:b/>
          <w:sz w:val="20"/>
        </w:rPr>
        <w:t xml:space="preserve">regardless of their </w:t>
      </w:r>
      <w:r w:rsidRPr="00356AA1">
        <w:rPr>
          <w:b/>
          <w:sz w:val="20"/>
        </w:rPr>
        <w:t>affiliation or identity, in order to depoliticize support for victims.</w:t>
      </w:r>
      <w:r w:rsidR="00781044">
        <w:rPr>
          <w:b/>
          <w:sz w:val="20"/>
        </w:rPr>
        <w:t xml:space="preserve"> </w:t>
      </w:r>
      <w:r w:rsidRPr="00356AA1">
        <w:rPr>
          <w:b/>
          <w:sz w:val="20"/>
        </w:rPr>
        <w:t xml:space="preserve">The </w:t>
      </w:r>
      <w:r w:rsidR="00BD6E56">
        <w:rPr>
          <w:b/>
          <w:sz w:val="20"/>
        </w:rPr>
        <w:t>transition</w:t>
      </w:r>
      <w:r w:rsidR="00BD6E56" w:rsidRPr="00356AA1">
        <w:rPr>
          <w:b/>
          <w:sz w:val="20"/>
        </w:rPr>
        <w:t xml:space="preserve"> </w:t>
      </w:r>
      <w:r w:rsidRPr="00356AA1">
        <w:rPr>
          <w:b/>
          <w:sz w:val="20"/>
        </w:rPr>
        <w:t>from a sectarian to a multi-ethnic</w:t>
      </w:r>
      <w:r w:rsidR="00BD6E56">
        <w:rPr>
          <w:b/>
          <w:sz w:val="20"/>
        </w:rPr>
        <w:t>,</w:t>
      </w:r>
      <w:r w:rsidRPr="00356AA1">
        <w:rPr>
          <w:b/>
          <w:sz w:val="20"/>
        </w:rPr>
        <w:t xml:space="preserve"> diverse society will not </w:t>
      </w:r>
      <w:r w:rsidR="00BD6E56">
        <w:rPr>
          <w:b/>
          <w:sz w:val="20"/>
        </w:rPr>
        <w:t>be possible</w:t>
      </w:r>
      <w:r w:rsidRPr="00356AA1">
        <w:rPr>
          <w:b/>
          <w:sz w:val="20"/>
        </w:rPr>
        <w:t xml:space="preserve"> without the initiative and participation of all </w:t>
      </w:r>
      <w:r w:rsidR="00BD6E56">
        <w:rPr>
          <w:b/>
          <w:sz w:val="20"/>
        </w:rPr>
        <w:t>members of</w:t>
      </w:r>
      <w:r w:rsidRPr="00356AA1">
        <w:rPr>
          <w:b/>
          <w:sz w:val="20"/>
        </w:rPr>
        <w:t xml:space="preserve"> civil society. </w:t>
      </w:r>
    </w:p>
    <w:p w:rsidR="00FF4737" w:rsidRPr="00356AA1" w:rsidRDefault="007C1927">
      <w:pPr>
        <w:pStyle w:val="SingleTxtG"/>
        <w:rPr>
          <w:b/>
          <w:sz w:val="20"/>
        </w:rPr>
      </w:pPr>
      <w:r w:rsidRPr="00356AA1">
        <w:rPr>
          <w:sz w:val="20"/>
        </w:rPr>
        <w:t>134.</w:t>
      </w:r>
      <w:r w:rsidRPr="00356AA1">
        <w:rPr>
          <w:b/>
          <w:sz w:val="20"/>
        </w:rPr>
        <w:tab/>
        <w:t xml:space="preserve">Despite the importance </w:t>
      </w:r>
      <w:r w:rsidR="00BD6E56">
        <w:rPr>
          <w:b/>
          <w:sz w:val="20"/>
        </w:rPr>
        <w:t xml:space="preserve">that </w:t>
      </w:r>
      <w:r w:rsidRPr="00356AA1">
        <w:rPr>
          <w:b/>
          <w:sz w:val="20"/>
        </w:rPr>
        <w:t>memorials have acquired in N</w:t>
      </w:r>
      <w:r w:rsidR="00BD6E56">
        <w:rPr>
          <w:b/>
          <w:sz w:val="20"/>
        </w:rPr>
        <w:t xml:space="preserve">orthern </w:t>
      </w:r>
      <w:r w:rsidRPr="00356AA1">
        <w:rPr>
          <w:b/>
          <w:sz w:val="20"/>
        </w:rPr>
        <w:t>I</w:t>
      </w:r>
      <w:r w:rsidR="00BD6E56">
        <w:rPr>
          <w:b/>
          <w:sz w:val="20"/>
        </w:rPr>
        <w:t>reland</w:t>
      </w:r>
      <w:r w:rsidRPr="00356AA1">
        <w:rPr>
          <w:b/>
          <w:sz w:val="20"/>
        </w:rPr>
        <w:t xml:space="preserve">, there is no agreed general policy supporting memorials that could </w:t>
      </w:r>
      <w:r w:rsidR="00BD6E56" w:rsidRPr="00356AA1">
        <w:rPr>
          <w:sz w:val="20"/>
        </w:rPr>
        <w:t>(a)</w:t>
      </w:r>
      <w:r w:rsidR="00BD6E56">
        <w:rPr>
          <w:b/>
          <w:sz w:val="20"/>
        </w:rPr>
        <w:t xml:space="preserve"> raise</w:t>
      </w:r>
      <w:r w:rsidRPr="00356AA1">
        <w:rPr>
          <w:b/>
          <w:sz w:val="20"/>
        </w:rPr>
        <w:t xml:space="preserve"> support for such activities;</w:t>
      </w:r>
      <w:r w:rsidR="00BD6E56">
        <w:rPr>
          <w:b/>
          <w:sz w:val="20"/>
        </w:rPr>
        <w:t xml:space="preserve"> </w:t>
      </w:r>
      <w:r w:rsidR="00BD6E56" w:rsidRPr="00356AA1">
        <w:rPr>
          <w:sz w:val="20"/>
        </w:rPr>
        <w:t xml:space="preserve">(b) </w:t>
      </w:r>
      <w:r w:rsidR="00BD6E56">
        <w:rPr>
          <w:b/>
          <w:sz w:val="20"/>
        </w:rPr>
        <w:t>i</w:t>
      </w:r>
      <w:r w:rsidRPr="00356AA1">
        <w:rPr>
          <w:b/>
          <w:sz w:val="20"/>
        </w:rPr>
        <w:t>ncentivize the establishment of memorials that would foster mutual</w:t>
      </w:r>
      <w:r w:rsidR="003A6079" w:rsidRPr="00356AA1">
        <w:rPr>
          <w:b/>
          <w:sz w:val="20"/>
        </w:rPr>
        <w:t xml:space="preserve"> </w:t>
      </w:r>
      <w:r w:rsidRPr="00356AA1">
        <w:rPr>
          <w:b/>
          <w:sz w:val="20"/>
        </w:rPr>
        <w:t xml:space="preserve">understanding, </w:t>
      </w:r>
      <w:r w:rsidR="00BD6E56">
        <w:rPr>
          <w:b/>
          <w:sz w:val="20"/>
        </w:rPr>
        <w:t>or</w:t>
      </w:r>
      <w:r w:rsidR="00BD6E56" w:rsidRPr="00356AA1">
        <w:rPr>
          <w:b/>
          <w:sz w:val="20"/>
        </w:rPr>
        <w:t xml:space="preserve"> </w:t>
      </w:r>
      <w:r w:rsidRPr="00356AA1">
        <w:rPr>
          <w:b/>
          <w:sz w:val="20"/>
        </w:rPr>
        <w:t xml:space="preserve">at least prevent the </w:t>
      </w:r>
      <w:proofErr w:type="spellStart"/>
      <w:r w:rsidRPr="00356AA1">
        <w:rPr>
          <w:b/>
          <w:sz w:val="20"/>
        </w:rPr>
        <w:t>instrumentalization</w:t>
      </w:r>
      <w:proofErr w:type="spellEnd"/>
      <w:r w:rsidRPr="00356AA1">
        <w:rPr>
          <w:b/>
          <w:sz w:val="20"/>
        </w:rPr>
        <w:t xml:space="preserve"> of memory; </w:t>
      </w:r>
      <w:r w:rsidR="003A6079" w:rsidRPr="00356AA1">
        <w:rPr>
          <w:sz w:val="20"/>
        </w:rPr>
        <w:t>(c)</w:t>
      </w:r>
      <w:r w:rsidR="0042434E">
        <w:rPr>
          <w:sz w:val="20"/>
        </w:rPr>
        <w:t xml:space="preserve"> </w:t>
      </w:r>
      <w:r w:rsidR="00BD6E56">
        <w:rPr>
          <w:b/>
          <w:sz w:val="20"/>
        </w:rPr>
        <w:t>c</w:t>
      </w:r>
      <w:r w:rsidRPr="00356AA1">
        <w:rPr>
          <w:b/>
          <w:sz w:val="20"/>
        </w:rPr>
        <w:t xml:space="preserve">omplement and stimulate other forms of truth-telling; </w:t>
      </w:r>
      <w:r w:rsidR="00BD6E56">
        <w:rPr>
          <w:b/>
          <w:sz w:val="20"/>
        </w:rPr>
        <w:t xml:space="preserve">and </w:t>
      </w:r>
      <w:r w:rsidR="003A6079" w:rsidRPr="00356AA1">
        <w:rPr>
          <w:sz w:val="20"/>
        </w:rPr>
        <w:t>(d)</w:t>
      </w:r>
      <w:r w:rsidR="00BD6E56">
        <w:rPr>
          <w:b/>
          <w:sz w:val="20"/>
        </w:rPr>
        <w:t xml:space="preserve"> g</w:t>
      </w:r>
      <w:r w:rsidR="003A6079" w:rsidRPr="00356AA1">
        <w:rPr>
          <w:b/>
          <w:sz w:val="20"/>
        </w:rPr>
        <w:t xml:space="preserve">uarantee </w:t>
      </w:r>
      <w:r w:rsidR="00781044">
        <w:rPr>
          <w:b/>
          <w:sz w:val="20"/>
        </w:rPr>
        <w:t xml:space="preserve">the </w:t>
      </w:r>
      <w:r w:rsidRPr="00356AA1">
        <w:rPr>
          <w:b/>
          <w:sz w:val="20"/>
        </w:rPr>
        <w:t xml:space="preserve">involvement </w:t>
      </w:r>
      <w:r w:rsidR="00781044">
        <w:rPr>
          <w:b/>
          <w:sz w:val="20"/>
        </w:rPr>
        <w:t xml:space="preserve">of </w:t>
      </w:r>
      <w:r w:rsidRPr="00356AA1">
        <w:rPr>
          <w:b/>
          <w:sz w:val="20"/>
        </w:rPr>
        <w:t xml:space="preserve">and participation by victims in all memorialization </w:t>
      </w:r>
      <w:r w:rsidR="003A6079" w:rsidRPr="00356AA1">
        <w:rPr>
          <w:b/>
          <w:sz w:val="20"/>
        </w:rPr>
        <w:t xml:space="preserve">activities. </w:t>
      </w:r>
      <w:r w:rsidRPr="00356AA1">
        <w:rPr>
          <w:b/>
          <w:sz w:val="20"/>
        </w:rPr>
        <w:t>Such a policy is urgent.</w:t>
      </w:r>
    </w:p>
    <w:p w:rsidR="00403AE5" w:rsidRDefault="007C1927">
      <w:pPr>
        <w:pStyle w:val="SingleTxtG"/>
        <w:rPr>
          <w:b/>
          <w:sz w:val="20"/>
        </w:rPr>
      </w:pPr>
      <w:r w:rsidRPr="00356AA1">
        <w:rPr>
          <w:sz w:val="20"/>
        </w:rPr>
        <w:t>135.</w:t>
      </w:r>
      <w:r w:rsidRPr="00356AA1">
        <w:rPr>
          <w:sz w:val="20"/>
        </w:rPr>
        <w:tab/>
      </w:r>
      <w:r w:rsidRPr="00356AA1">
        <w:rPr>
          <w:b/>
          <w:sz w:val="20"/>
        </w:rPr>
        <w:t xml:space="preserve">The Special </w:t>
      </w:r>
      <w:r w:rsidR="00774C5F">
        <w:rPr>
          <w:b/>
          <w:sz w:val="20"/>
        </w:rPr>
        <w:t>R</w:t>
      </w:r>
      <w:r w:rsidRPr="00356AA1">
        <w:rPr>
          <w:b/>
          <w:sz w:val="20"/>
        </w:rPr>
        <w:t xml:space="preserve">apporteur urges all stakeholders to re-engage </w:t>
      </w:r>
      <w:r w:rsidR="005879A7">
        <w:rPr>
          <w:b/>
          <w:sz w:val="20"/>
        </w:rPr>
        <w:t xml:space="preserve">immediately </w:t>
      </w:r>
      <w:r w:rsidRPr="00356AA1">
        <w:rPr>
          <w:b/>
          <w:sz w:val="20"/>
        </w:rPr>
        <w:t xml:space="preserve">with work on adopting a </w:t>
      </w:r>
      <w:r w:rsidR="00781044">
        <w:rPr>
          <w:b/>
          <w:sz w:val="20"/>
        </w:rPr>
        <w:t>b</w:t>
      </w:r>
      <w:r w:rsidRPr="00356AA1">
        <w:rPr>
          <w:b/>
          <w:sz w:val="20"/>
        </w:rPr>
        <w:t xml:space="preserve">ill of </w:t>
      </w:r>
      <w:r w:rsidR="00781044">
        <w:rPr>
          <w:b/>
          <w:sz w:val="20"/>
        </w:rPr>
        <w:t>r</w:t>
      </w:r>
      <w:r w:rsidRPr="00356AA1">
        <w:rPr>
          <w:b/>
          <w:sz w:val="20"/>
        </w:rPr>
        <w:t>ights.</w:t>
      </w:r>
    </w:p>
    <w:p w:rsidR="00403AE5" w:rsidRDefault="00403AE5">
      <w:pPr>
        <w:suppressAutoHyphens w:val="0"/>
        <w:spacing w:line="240" w:lineRule="auto"/>
        <w:rPr>
          <w:b/>
          <w:sz w:val="20"/>
        </w:rPr>
      </w:pPr>
      <w:r>
        <w:rPr>
          <w:b/>
          <w:sz w:val="20"/>
        </w:rPr>
        <w:br w:type="page"/>
      </w:r>
    </w:p>
    <w:p w:rsidR="00FF4737" w:rsidRPr="00FF4737" w:rsidRDefault="007C1927">
      <w:pPr>
        <w:pStyle w:val="SingleTxtG"/>
        <w:rPr>
          <w:b/>
        </w:rPr>
      </w:pPr>
      <w:r w:rsidRPr="00356AA1">
        <w:rPr>
          <w:sz w:val="20"/>
        </w:rPr>
        <w:lastRenderedPageBreak/>
        <w:t>136.</w:t>
      </w:r>
      <w:r w:rsidRPr="00356AA1">
        <w:rPr>
          <w:b/>
          <w:sz w:val="20"/>
        </w:rPr>
        <w:tab/>
      </w:r>
      <w:r w:rsidR="00781044">
        <w:rPr>
          <w:b/>
          <w:sz w:val="20"/>
        </w:rPr>
        <w:t>R</w:t>
      </w:r>
      <w:r w:rsidRPr="00356AA1">
        <w:rPr>
          <w:b/>
          <w:sz w:val="20"/>
        </w:rPr>
        <w:t xml:space="preserve">emoving exclusionary barriers, reducing inequalities and minimizing poverty are </w:t>
      </w:r>
      <w:r w:rsidR="00781044">
        <w:rPr>
          <w:b/>
          <w:sz w:val="20"/>
        </w:rPr>
        <w:t>essential</w:t>
      </w:r>
      <w:r w:rsidR="00781044" w:rsidRPr="00356AA1">
        <w:rPr>
          <w:b/>
          <w:sz w:val="20"/>
        </w:rPr>
        <w:t xml:space="preserve"> </w:t>
      </w:r>
      <w:r w:rsidRPr="00356AA1">
        <w:rPr>
          <w:b/>
          <w:sz w:val="20"/>
        </w:rPr>
        <w:t>for non-recurrence. Policy instruments to achieve the</w:t>
      </w:r>
      <w:r w:rsidR="00781044">
        <w:rPr>
          <w:b/>
          <w:sz w:val="20"/>
        </w:rPr>
        <w:t>se aims are</w:t>
      </w:r>
      <w:r w:rsidRPr="00356AA1">
        <w:rPr>
          <w:b/>
          <w:sz w:val="20"/>
        </w:rPr>
        <w:t>, however, not obviously being enacted. Unsurprisingly, housing and education segregation continue</w:t>
      </w:r>
      <w:r w:rsidR="00781044">
        <w:rPr>
          <w:b/>
          <w:sz w:val="20"/>
        </w:rPr>
        <w:t>s</w:t>
      </w:r>
      <w:r w:rsidRPr="00356AA1">
        <w:rPr>
          <w:b/>
          <w:sz w:val="20"/>
        </w:rPr>
        <w:t xml:space="preserve"> to be the norm.</w:t>
      </w:r>
      <w:r w:rsidR="00781044">
        <w:rPr>
          <w:b/>
          <w:sz w:val="20"/>
        </w:rPr>
        <w:t xml:space="preserve"> Nonetheless</w:t>
      </w:r>
      <w:r w:rsidRPr="00356AA1">
        <w:rPr>
          <w:b/>
          <w:sz w:val="20"/>
        </w:rPr>
        <w:t>, discrimination in the work place has diminished significantly, proving that progress is possible. In general, redressing past violations and abuses is also facilitated when discussions about the past are not mingled with debates about sectarian distrib</w:t>
      </w:r>
      <w:r w:rsidR="00BE1DCE" w:rsidRPr="00356AA1">
        <w:rPr>
          <w:b/>
          <w:sz w:val="20"/>
        </w:rPr>
        <w:t>ution of the means of survival.</w:t>
      </w:r>
    </w:p>
    <w:p w:rsidR="00BE1DCE" w:rsidRPr="00FF4737" w:rsidRDefault="00BE1DCE" w:rsidP="00BE1DCE">
      <w:pPr>
        <w:pStyle w:val="SingleTxtG"/>
        <w:spacing w:before="240" w:after="0"/>
        <w:jc w:val="center"/>
        <w:rPr>
          <w:b/>
          <w:u w:val="single"/>
        </w:rPr>
      </w:pPr>
      <w:r w:rsidRPr="00FF4737">
        <w:rPr>
          <w:u w:val="single"/>
        </w:rPr>
        <w:tab/>
      </w:r>
      <w:r w:rsidRPr="00FF4737">
        <w:rPr>
          <w:u w:val="single"/>
        </w:rPr>
        <w:tab/>
      </w:r>
      <w:r w:rsidRPr="00FF4737">
        <w:rPr>
          <w:u w:val="single"/>
        </w:rPr>
        <w:tab/>
      </w:r>
    </w:p>
    <w:sectPr w:rsidR="00BE1DCE" w:rsidRPr="00FF4737" w:rsidSect="00342EC7">
      <w:headerReference w:type="even" r:id="rId9"/>
      <w:headerReference w:type="default" r:id="rId10"/>
      <w:footerReference w:type="even" r:id="rId11"/>
      <w:footerReference w:type="default" r:id="rId12"/>
      <w:endnotePr>
        <w:numFmt w:val="decimal"/>
      </w:endnotePr>
      <w:pgSz w:w="11907" w:h="16840" w:code="9"/>
      <w:pgMar w:top="1701" w:right="1134" w:bottom="2268" w:left="1134" w:header="1134" w:footer="170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2421" w:rsidRDefault="00B02421"/>
  </w:endnote>
  <w:endnote w:type="continuationSeparator" w:id="0">
    <w:p w:rsidR="00B02421" w:rsidRDefault="00B02421"/>
  </w:endnote>
  <w:endnote w:type="continuationNotice" w:id="1">
    <w:p w:rsidR="00B02421" w:rsidRDefault="00B024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21" w:rsidRPr="00342EC7" w:rsidRDefault="00B02421" w:rsidP="00342EC7">
    <w:pPr>
      <w:pStyle w:val="Footer"/>
      <w:tabs>
        <w:tab w:val="right" w:pos="9638"/>
      </w:tabs>
    </w:pPr>
    <w:r>
      <w:fldChar w:fldCharType="begin"/>
    </w:r>
    <w:r>
      <w:instrText xml:space="preserve"> PAGE  \* MERGEFORMAT </w:instrText>
    </w:r>
    <w:r>
      <w:fldChar w:fldCharType="separate"/>
    </w:r>
    <w:r w:rsidR="00FB79DF" w:rsidRPr="00FB79DF">
      <w:rPr>
        <w:b/>
        <w:noProof/>
        <w:sz w:val="18"/>
      </w:rPr>
      <w:t>2</w:t>
    </w:r>
    <w:r>
      <w:rPr>
        <w:b/>
        <w:noProof/>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21" w:rsidRPr="00342EC7" w:rsidRDefault="00B02421" w:rsidP="00342EC7">
    <w:pPr>
      <w:pStyle w:val="Footer"/>
      <w:tabs>
        <w:tab w:val="right" w:pos="9638"/>
      </w:tabs>
      <w:rPr>
        <w:b/>
        <w:sz w:val="18"/>
      </w:rPr>
    </w:pPr>
    <w:r>
      <w:tab/>
    </w:r>
    <w:r>
      <w:fldChar w:fldCharType="begin"/>
    </w:r>
    <w:r>
      <w:instrText xml:space="preserve"> PAGE  \* MERGEFORMAT </w:instrText>
    </w:r>
    <w:r>
      <w:fldChar w:fldCharType="separate"/>
    </w:r>
    <w:r w:rsidR="00FB79DF" w:rsidRPr="00FB79DF">
      <w:rPr>
        <w:b/>
        <w:noProof/>
        <w:sz w:val="18"/>
      </w:rPr>
      <w:t>3</w:t>
    </w:r>
    <w:r>
      <w:rPr>
        <w:b/>
        <w:noProof/>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2421" w:rsidRPr="000B175B" w:rsidRDefault="00B02421" w:rsidP="000B175B">
      <w:pPr>
        <w:tabs>
          <w:tab w:val="right" w:pos="2155"/>
        </w:tabs>
        <w:spacing w:after="80"/>
        <w:ind w:left="680"/>
        <w:rPr>
          <w:u w:val="single"/>
        </w:rPr>
      </w:pPr>
      <w:r>
        <w:rPr>
          <w:u w:val="single"/>
        </w:rPr>
        <w:tab/>
      </w:r>
    </w:p>
  </w:footnote>
  <w:footnote w:type="continuationSeparator" w:id="0">
    <w:p w:rsidR="00B02421" w:rsidRPr="00FC68B7" w:rsidRDefault="00B02421" w:rsidP="00FC68B7">
      <w:pPr>
        <w:tabs>
          <w:tab w:val="left" w:pos="2155"/>
        </w:tabs>
        <w:spacing w:after="80"/>
        <w:ind w:left="680"/>
        <w:rPr>
          <w:u w:val="single"/>
        </w:rPr>
      </w:pPr>
      <w:r>
        <w:rPr>
          <w:u w:val="single"/>
        </w:rPr>
        <w:tab/>
      </w:r>
    </w:p>
  </w:footnote>
  <w:footnote w:type="continuationNotice" w:id="1">
    <w:p w:rsidR="00B02421" w:rsidRDefault="00B02421"/>
  </w:footnote>
  <w:footnote w:id="2">
    <w:p w:rsidR="00B02421" w:rsidRPr="00A73C98" w:rsidRDefault="00B02421" w:rsidP="00356AA1">
      <w:pPr>
        <w:pStyle w:val="FootnoteText"/>
        <w:spacing w:line="240" w:lineRule="atLeast"/>
        <w:jc w:val="both"/>
        <w:rPr>
          <w:szCs w:val="18"/>
          <w:lang w:val="en-US"/>
        </w:rPr>
      </w:pPr>
      <w:r w:rsidRPr="00A73C98">
        <w:rPr>
          <w:rStyle w:val="FootnoteReference"/>
          <w:szCs w:val="18"/>
        </w:rPr>
        <w:tab/>
      </w:r>
      <w:r w:rsidRPr="00356AA1">
        <w:rPr>
          <w:rStyle w:val="FootnoteReference"/>
          <w:szCs w:val="18"/>
        </w:rPr>
        <w:t>*</w:t>
      </w:r>
      <w:r w:rsidRPr="00356AA1">
        <w:rPr>
          <w:rStyle w:val="FootnoteReference"/>
          <w:szCs w:val="18"/>
        </w:rPr>
        <w:tab/>
      </w:r>
      <w:proofErr w:type="gramStart"/>
      <w:r w:rsidRPr="00A73C98">
        <w:rPr>
          <w:szCs w:val="18"/>
        </w:rPr>
        <w:t>Circulated in the language of submission only.</w:t>
      </w:r>
      <w:proofErr w:type="gramEnd"/>
    </w:p>
  </w:footnote>
  <w:footnote w:id="3">
    <w:p w:rsidR="00B02421" w:rsidRPr="00356AA1" w:rsidRDefault="00B02421" w:rsidP="00356AA1">
      <w:pPr>
        <w:pStyle w:val="FootnoteText"/>
        <w:spacing w:line="240" w:lineRule="atLeast"/>
        <w:ind w:left="1138" w:right="1138" w:hanging="1138"/>
        <w:jc w:val="both"/>
        <w:rPr>
          <w:rFonts w:ascii="Verdana" w:hAnsi="Verdana"/>
          <w:szCs w:val="18"/>
          <w:lang w:val="en-US"/>
        </w:rPr>
      </w:pPr>
      <w:r w:rsidRPr="00A73C98">
        <w:rPr>
          <w:szCs w:val="18"/>
        </w:rPr>
        <w:tab/>
      </w:r>
      <w:r w:rsidRPr="00A73C98">
        <w:rPr>
          <w:rStyle w:val="FootnoteReference"/>
          <w:szCs w:val="18"/>
        </w:rPr>
        <w:footnoteRef/>
      </w:r>
      <w:r w:rsidRPr="00A73C98">
        <w:rPr>
          <w:szCs w:val="18"/>
        </w:rPr>
        <w:tab/>
        <w:t xml:space="preserve">Cheryl </w:t>
      </w:r>
      <w:proofErr w:type="spellStart"/>
      <w:r w:rsidRPr="00A73C98">
        <w:rPr>
          <w:szCs w:val="18"/>
        </w:rPr>
        <w:t>Lawther</w:t>
      </w:r>
      <w:proofErr w:type="spellEnd"/>
      <w:r w:rsidRPr="00A73C98">
        <w:rPr>
          <w:szCs w:val="18"/>
        </w:rPr>
        <w:t xml:space="preserve">, “Criminal Justice, Truth Recovery and Dealing with the Past in Northern Ireland” in </w:t>
      </w:r>
      <w:r w:rsidRPr="00A73C98">
        <w:rPr>
          <w:i/>
          <w:szCs w:val="18"/>
        </w:rPr>
        <w:t>Criminal Justice in Transition: The Northern Ireland Context</w:t>
      </w:r>
      <w:r w:rsidRPr="00A73C98">
        <w:rPr>
          <w:szCs w:val="18"/>
        </w:rPr>
        <w:t xml:space="preserve">, Anne-Marie </w:t>
      </w:r>
      <w:proofErr w:type="spellStart"/>
      <w:r w:rsidRPr="00A73C98">
        <w:rPr>
          <w:szCs w:val="18"/>
        </w:rPr>
        <w:t>McAlinden</w:t>
      </w:r>
      <w:proofErr w:type="spellEnd"/>
      <w:r w:rsidRPr="00A73C98">
        <w:rPr>
          <w:szCs w:val="18"/>
        </w:rPr>
        <w:t xml:space="preserve"> and Clare Dwyer, eds. (Oxford, Hart Publishing, 2015).</w:t>
      </w:r>
    </w:p>
  </w:footnote>
  <w:footnote w:id="4">
    <w:p w:rsidR="00B02421" w:rsidRPr="00356AA1" w:rsidRDefault="00B02421" w:rsidP="00356AA1">
      <w:pPr>
        <w:pStyle w:val="FootnoteText"/>
        <w:spacing w:line="240" w:lineRule="atLeast"/>
        <w:ind w:left="1138" w:right="1138" w:hanging="1138"/>
        <w:jc w:val="both"/>
        <w:rPr>
          <w:rFonts w:ascii="Verdana" w:hAnsi="Verdana"/>
          <w:szCs w:val="18"/>
          <w:lang w:val="en-US"/>
        </w:rPr>
      </w:pPr>
      <w:r w:rsidRPr="00A73C98">
        <w:rPr>
          <w:szCs w:val="18"/>
        </w:rPr>
        <w:tab/>
      </w:r>
      <w:r w:rsidRPr="00A73C98">
        <w:rPr>
          <w:rStyle w:val="FootnoteReference"/>
          <w:szCs w:val="18"/>
        </w:rPr>
        <w:footnoteRef/>
      </w:r>
      <w:r w:rsidRPr="00A73C98">
        <w:rPr>
          <w:szCs w:val="18"/>
        </w:rPr>
        <w:tab/>
        <w:t>See www.bloody-sunday-inquiry.org.uk.</w:t>
      </w:r>
    </w:p>
  </w:footnote>
  <w:footnote w:id="5">
    <w:p w:rsidR="00B02421" w:rsidRPr="00A73C98" w:rsidRDefault="00B02421" w:rsidP="00356AA1">
      <w:pPr>
        <w:pStyle w:val="FootnoteText"/>
        <w:spacing w:line="240" w:lineRule="atLeast"/>
        <w:ind w:left="1138" w:right="1138" w:hanging="1138"/>
        <w:jc w:val="both"/>
        <w:rPr>
          <w:szCs w:val="18"/>
        </w:rPr>
      </w:pPr>
      <w:r w:rsidRPr="00A73C98">
        <w:rPr>
          <w:szCs w:val="18"/>
        </w:rPr>
        <w:tab/>
        <w:t xml:space="preserve"> </w:t>
      </w:r>
      <w:r w:rsidRPr="00A73C98">
        <w:rPr>
          <w:szCs w:val="18"/>
          <w:vertAlign w:val="superscript"/>
        </w:rPr>
        <w:footnoteRef/>
      </w:r>
      <w:r w:rsidRPr="00A73C98">
        <w:rPr>
          <w:szCs w:val="18"/>
        </w:rPr>
        <w:tab/>
        <w:t>In the response of the authorities of the United Kingdom to the present report, they referred to the non-statutory review undertaken by Sir Desmond De Silva of the Finucane case, adding that, “in the Government’s view, the De Silva review clearly established the truth of what happened in the Finucane case and the then Prime Minister made a full apology in the House of Commons”.</w:t>
      </w:r>
    </w:p>
  </w:footnote>
  <w:footnote w:id="6">
    <w:p w:rsidR="00B02421" w:rsidRPr="00A73C98" w:rsidRDefault="00B02421" w:rsidP="00356AA1">
      <w:pPr>
        <w:pStyle w:val="FootnoteText"/>
        <w:spacing w:line="240" w:lineRule="atLeast"/>
        <w:ind w:left="1138" w:right="1138" w:hanging="1138"/>
        <w:jc w:val="both"/>
        <w:rPr>
          <w:szCs w:val="18"/>
        </w:rPr>
      </w:pPr>
      <w:r w:rsidRPr="00A73C98">
        <w:rPr>
          <w:szCs w:val="18"/>
        </w:rPr>
        <w:tab/>
      </w:r>
      <w:r w:rsidRPr="00A73C98">
        <w:rPr>
          <w:rStyle w:val="FootnoteReference"/>
          <w:szCs w:val="18"/>
        </w:rPr>
        <w:footnoteRef/>
      </w:r>
      <w:r w:rsidRPr="00A73C98">
        <w:rPr>
          <w:szCs w:val="18"/>
        </w:rPr>
        <w:tab/>
        <w:t>See HMIC, “Inspection of the Police Service of Northern Ireland Historical Enquiries Team”, 2013, p. 28.</w:t>
      </w:r>
    </w:p>
  </w:footnote>
  <w:footnote w:id="7">
    <w:p w:rsidR="00B02421" w:rsidRPr="00356AA1" w:rsidRDefault="00B02421" w:rsidP="00356AA1">
      <w:pPr>
        <w:pStyle w:val="FootnoteText"/>
        <w:spacing w:line="240" w:lineRule="atLeast"/>
        <w:ind w:left="1138" w:right="1138" w:hanging="1138"/>
        <w:jc w:val="both"/>
        <w:rPr>
          <w:rFonts w:ascii="Verdana" w:hAnsi="Verdana"/>
          <w:szCs w:val="18"/>
          <w:lang w:val="en-US"/>
        </w:rPr>
      </w:pPr>
      <w:r w:rsidRPr="00A73C98">
        <w:rPr>
          <w:szCs w:val="18"/>
        </w:rPr>
        <w:tab/>
      </w:r>
      <w:r w:rsidRPr="00A73C98">
        <w:rPr>
          <w:rStyle w:val="FootnoteReference"/>
          <w:szCs w:val="18"/>
        </w:rPr>
        <w:footnoteRef/>
      </w:r>
      <w:r w:rsidRPr="00A73C98">
        <w:rPr>
          <w:szCs w:val="18"/>
        </w:rPr>
        <w:tab/>
        <w:t>Office of the First Minister and Deputy First Minister, Employers’ Guidance on Recruiting People with Conflict-related Convictions, Report of the Review Panel</w:t>
      </w:r>
      <w:r>
        <w:rPr>
          <w:szCs w:val="18"/>
        </w:rPr>
        <w:t>, March 2012,</w:t>
      </w:r>
      <w:r w:rsidRPr="00A73C98">
        <w:rPr>
          <w:szCs w:val="18"/>
        </w:rPr>
        <w:t xml:space="preserve"> p. 14.</w:t>
      </w:r>
      <w:r>
        <w:rPr>
          <w:rFonts w:ascii="Verdana" w:hAnsi="Verdana"/>
          <w:szCs w:val="18"/>
          <w:lang w:val="en-US"/>
        </w:rPr>
        <w:t xml:space="preserve"> </w:t>
      </w:r>
    </w:p>
  </w:footnote>
  <w:footnote w:id="8">
    <w:p w:rsidR="00B02421" w:rsidRPr="00356AA1" w:rsidRDefault="00B02421" w:rsidP="00356AA1">
      <w:pPr>
        <w:pStyle w:val="FootnoteText"/>
        <w:spacing w:line="240" w:lineRule="atLeast"/>
        <w:ind w:left="1138" w:right="1138" w:hanging="1138"/>
        <w:jc w:val="both"/>
        <w:rPr>
          <w:rFonts w:ascii="Verdana" w:hAnsi="Verdana"/>
          <w:szCs w:val="18"/>
          <w:lang w:val="en-US"/>
        </w:rPr>
      </w:pPr>
      <w:r w:rsidRPr="00A73C98">
        <w:rPr>
          <w:szCs w:val="18"/>
        </w:rPr>
        <w:tab/>
      </w:r>
      <w:r w:rsidRPr="00A73C98">
        <w:rPr>
          <w:rStyle w:val="FootnoteReference"/>
          <w:szCs w:val="18"/>
        </w:rPr>
        <w:footnoteRef/>
      </w:r>
      <w:r w:rsidRPr="00A73C98">
        <w:rPr>
          <w:szCs w:val="18"/>
        </w:rPr>
        <w:tab/>
        <w:t xml:space="preserve">Conflict Archive on the Internet (CAIN) Web Service, Background Information on Northern Ireland Society: Security and Defence. </w:t>
      </w:r>
    </w:p>
  </w:footnote>
  <w:footnote w:id="9">
    <w:p w:rsidR="00B02421" w:rsidRPr="00A73C98" w:rsidRDefault="00B02421" w:rsidP="00356AA1">
      <w:pPr>
        <w:pStyle w:val="FootnoteText"/>
        <w:widowControl w:val="0"/>
        <w:tabs>
          <w:tab w:val="clear" w:pos="1021"/>
          <w:tab w:val="right" w:pos="1020"/>
        </w:tabs>
        <w:spacing w:line="240" w:lineRule="atLeast"/>
        <w:ind w:left="1138" w:right="1138" w:hanging="1138"/>
        <w:jc w:val="both"/>
        <w:rPr>
          <w:szCs w:val="18"/>
        </w:rPr>
      </w:pPr>
      <w:r w:rsidRPr="00A73C98">
        <w:rPr>
          <w:szCs w:val="18"/>
        </w:rPr>
        <w:tab/>
      </w:r>
      <w:r w:rsidRPr="00A73C98">
        <w:rPr>
          <w:rStyle w:val="FootnoteReference"/>
          <w:szCs w:val="18"/>
        </w:rPr>
        <w:footnoteRef/>
      </w:r>
      <w:r w:rsidRPr="00A73C98">
        <w:rPr>
          <w:szCs w:val="18"/>
        </w:rPr>
        <w:tab/>
        <w:t xml:space="preserve">Clare Dwyer, “The Complexity of Imprisonment: The Northern Ireland Experience”, </w:t>
      </w:r>
      <w:r w:rsidRPr="00A73C98">
        <w:rPr>
          <w:i/>
          <w:szCs w:val="18"/>
        </w:rPr>
        <w:t>Cambrian Law Review</w:t>
      </w:r>
      <w:r w:rsidRPr="00A73C98">
        <w:rPr>
          <w:szCs w:val="18"/>
        </w:rPr>
        <w:t>, Vol. 35, 2004, p. 97.</w:t>
      </w:r>
    </w:p>
  </w:footnote>
  <w:footnote w:id="10">
    <w:p w:rsidR="00B02421" w:rsidRPr="00A73C98" w:rsidRDefault="00B02421" w:rsidP="00356AA1">
      <w:pPr>
        <w:pStyle w:val="FootnoteText"/>
        <w:widowControl w:val="0"/>
        <w:tabs>
          <w:tab w:val="clear" w:pos="1021"/>
          <w:tab w:val="right" w:pos="1020"/>
        </w:tabs>
        <w:spacing w:line="240" w:lineRule="atLeast"/>
        <w:ind w:left="1138" w:right="1138" w:hanging="1138"/>
        <w:jc w:val="both"/>
        <w:rPr>
          <w:szCs w:val="18"/>
        </w:rPr>
      </w:pPr>
      <w:r w:rsidRPr="00A73C98">
        <w:rPr>
          <w:szCs w:val="18"/>
        </w:rPr>
        <w:tab/>
      </w:r>
      <w:r w:rsidRPr="00A73C98">
        <w:rPr>
          <w:rStyle w:val="FootnoteReference"/>
          <w:szCs w:val="18"/>
        </w:rPr>
        <w:footnoteRef/>
      </w:r>
      <w:r w:rsidRPr="00A73C98">
        <w:rPr>
          <w:szCs w:val="18"/>
        </w:rPr>
        <w:tab/>
        <w:t xml:space="preserve">See Christine Bell, “Dealing with the Past in Northern Ireland”, </w:t>
      </w:r>
      <w:r w:rsidRPr="00A73C98">
        <w:rPr>
          <w:i/>
          <w:szCs w:val="18"/>
        </w:rPr>
        <w:t>Fordham Law Review</w:t>
      </w:r>
      <w:r w:rsidRPr="00A73C98">
        <w:rPr>
          <w:szCs w:val="18"/>
        </w:rPr>
        <w:t xml:space="preserve">, Vol. 26, No. 4, 2002, pp. 1126-7; Marie-Therese Fay, Mike Morrissey and Marie Smyth, </w:t>
      </w:r>
      <w:r w:rsidRPr="00A73C98">
        <w:rPr>
          <w:i/>
          <w:szCs w:val="18"/>
        </w:rPr>
        <w:t>Northern Ireland’s Troubles: the Human Costs</w:t>
      </w:r>
      <w:r w:rsidRPr="00A73C98">
        <w:rPr>
          <w:szCs w:val="18"/>
        </w:rPr>
        <w:t xml:space="preserve"> (London, Pluto Press, 1999); and Malcolm Sutton, “An Index of Deaths from the Conflict in Ireland”, CAIN Web Service, 2001.</w:t>
      </w:r>
    </w:p>
  </w:footnote>
  <w:footnote w:id="11">
    <w:p w:rsidR="00B02421" w:rsidRPr="00A73C98" w:rsidRDefault="00B02421" w:rsidP="00356AA1">
      <w:pPr>
        <w:pStyle w:val="FootnoteText"/>
        <w:spacing w:line="240" w:lineRule="atLeast"/>
        <w:ind w:left="1138" w:right="1138" w:hanging="1138"/>
        <w:jc w:val="both"/>
        <w:rPr>
          <w:szCs w:val="18"/>
        </w:rPr>
      </w:pPr>
      <w:r w:rsidRPr="00A73C98">
        <w:rPr>
          <w:szCs w:val="18"/>
        </w:rPr>
        <w:tab/>
      </w:r>
      <w:r w:rsidRPr="00A73C98">
        <w:rPr>
          <w:rStyle w:val="FootnoteReference"/>
          <w:szCs w:val="18"/>
        </w:rPr>
        <w:footnoteRef/>
      </w:r>
      <w:r w:rsidRPr="00A73C98">
        <w:rPr>
          <w:szCs w:val="18"/>
        </w:rPr>
        <w:tab/>
        <w:t xml:space="preserve">Relatives for Justice, a non-governmental organization, argues that the figure of 10 per cent is artificially low owing to underreporting and lack of investigations, and contends that, if collusion with State forces were incorporated, the State would bear some responsibility for some 33 per cent of all killings. See Relatives for Justice </w:t>
      </w:r>
      <w:proofErr w:type="gramStart"/>
      <w:r w:rsidRPr="00A73C98">
        <w:rPr>
          <w:szCs w:val="18"/>
        </w:rPr>
        <w:t>press</w:t>
      </w:r>
      <w:proofErr w:type="gramEnd"/>
      <w:r w:rsidRPr="00A73C98">
        <w:rPr>
          <w:szCs w:val="18"/>
        </w:rPr>
        <w:t xml:space="preserve"> statement, “RFJ respond to </w:t>
      </w:r>
      <w:proofErr w:type="spellStart"/>
      <w:r w:rsidRPr="00A73C98">
        <w:rPr>
          <w:szCs w:val="18"/>
        </w:rPr>
        <w:t>SoS</w:t>
      </w:r>
      <w:proofErr w:type="spellEnd"/>
      <w:r w:rsidRPr="00A73C98">
        <w:rPr>
          <w:szCs w:val="18"/>
        </w:rPr>
        <w:t xml:space="preserve"> Propaganda Myths”, 16 April 2014.</w:t>
      </w:r>
    </w:p>
  </w:footnote>
  <w:footnote w:id="12">
    <w:p w:rsidR="00B02421" w:rsidRPr="00A73C98" w:rsidRDefault="00B02421" w:rsidP="00356AA1">
      <w:pPr>
        <w:pStyle w:val="FootnoteText"/>
        <w:widowControl w:val="0"/>
        <w:tabs>
          <w:tab w:val="clear" w:pos="1021"/>
          <w:tab w:val="right" w:pos="1020"/>
        </w:tabs>
        <w:spacing w:line="240" w:lineRule="atLeast"/>
        <w:ind w:left="1138" w:right="1138" w:hanging="1138"/>
        <w:jc w:val="both"/>
        <w:rPr>
          <w:szCs w:val="18"/>
        </w:rPr>
      </w:pPr>
      <w:r w:rsidRPr="00A73C98">
        <w:rPr>
          <w:szCs w:val="18"/>
        </w:rPr>
        <w:tab/>
      </w:r>
      <w:r w:rsidRPr="00A73C98">
        <w:rPr>
          <w:rStyle w:val="FootnoteReference"/>
          <w:szCs w:val="18"/>
        </w:rPr>
        <w:footnoteRef/>
      </w:r>
      <w:r w:rsidRPr="00A73C98">
        <w:rPr>
          <w:szCs w:val="18"/>
        </w:rPr>
        <w:tab/>
      </w:r>
      <w:r w:rsidRPr="00A73C98">
        <w:rPr>
          <w:szCs w:val="18"/>
          <w:lang w:val="en-US"/>
        </w:rPr>
        <w:t>No provision was made for those not yet convicted or convicted but not in prison, an omission that would give rise to subsequent challenges.</w:t>
      </w:r>
    </w:p>
  </w:footnote>
  <w:footnote w:id="13">
    <w:p w:rsidR="00B02421" w:rsidRPr="00A73C98" w:rsidRDefault="00B02421" w:rsidP="00356AA1">
      <w:pPr>
        <w:pStyle w:val="FootnoteText"/>
        <w:tabs>
          <w:tab w:val="clear" w:pos="1021"/>
          <w:tab w:val="right" w:pos="1020"/>
        </w:tabs>
        <w:spacing w:line="240" w:lineRule="atLeast"/>
        <w:ind w:left="1138" w:right="1138" w:hanging="1138"/>
        <w:jc w:val="both"/>
        <w:rPr>
          <w:szCs w:val="18"/>
        </w:rPr>
      </w:pPr>
      <w:r w:rsidRPr="00A73C98">
        <w:rPr>
          <w:szCs w:val="18"/>
        </w:rPr>
        <w:tab/>
      </w:r>
      <w:r w:rsidRPr="00A73C98">
        <w:rPr>
          <w:rStyle w:val="FootnoteReference"/>
          <w:szCs w:val="18"/>
        </w:rPr>
        <w:footnoteRef/>
      </w:r>
      <w:r w:rsidRPr="00A73C98">
        <w:rPr>
          <w:szCs w:val="18"/>
        </w:rPr>
        <w:tab/>
      </w:r>
      <w:proofErr w:type="gramStart"/>
      <w:r w:rsidRPr="00A73C98">
        <w:rPr>
          <w:szCs w:val="18"/>
        </w:rPr>
        <w:t>Sentence Review Commissioners Annual Report 2002.</w:t>
      </w:r>
      <w:proofErr w:type="gramEnd"/>
      <w:r w:rsidRPr="00A73C98">
        <w:rPr>
          <w:szCs w:val="18"/>
        </w:rPr>
        <w:t xml:space="preserve"> See also Bell, “Dealing with the Past in Northern Ireland” (see footnote</w:t>
      </w:r>
      <w:r>
        <w:rPr>
          <w:szCs w:val="18"/>
        </w:rPr>
        <w:t xml:space="preserve"> 8</w:t>
      </w:r>
      <w:r w:rsidRPr="00A73C98">
        <w:rPr>
          <w:szCs w:val="18"/>
        </w:rPr>
        <w:t>), pp. 1112-14.</w:t>
      </w:r>
      <w:r>
        <w:rPr>
          <w:szCs w:val="18"/>
        </w:rPr>
        <w:t xml:space="preserve"> </w:t>
      </w:r>
    </w:p>
  </w:footnote>
  <w:footnote w:id="14">
    <w:p w:rsidR="00B02421" w:rsidRPr="00356AA1" w:rsidRDefault="00B02421" w:rsidP="00356AA1">
      <w:pPr>
        <w:pStyle w:val="FootnoteText"/>
        <w:spacing w:line="240" w:lineRule="atLeast"/>
        <w:ind w:left="1138" w:right="1138" w:hanging="1138"/>
        <w:jc w:val="both"/>
        <w:rPr>
          <w:rFonts w:ascii="Verdana" w:hAnsi="Verdana"/>
          <w:szCs w:val="18"/>
        </w:rPr>
      </w:pPr>
      <w:r w:rsidRPr="00A73C98">
        <w:rPr>
          <w:szCs w:val="18"/>
        </w:rPr>
        <w:tab/>
      </w:r>
      <w:r w:rsidRPr="00A73C98">
        <w:rPr>
          <w:rStyle w:val="FootnoteReference"/>
          <w:szCs w:val="18"/>
        </w:rPr>
        <w:footnoteRef/>
      </w:r>
      <w:r w:rsidRPr="00A73C98">
        <w:rPr>
          <w:szCs w:val="18"/>
        </w:rPr>
        <w:tab/>
        <w:t xml:space="preserve">According to the first Victims Commissioner, £186 million had been paid to victims of terrorist violence, of which £26 million on awards upon the death of a victim, and a further £160 million on awards for injuries to a victim. See </w:t>
      </w:r>
      <w:r w:rsidRPr="00A73C98">
        <w:rPr>
          <w:i/>
          <w:szCs w:val="18"/>
        </w:rPr>
        <w:t>We Will Remember Them</w:t>
      </w:r>
      <w:r w:rsidRPr="00A73C98">
        <w:rPr>
          <w:szCs w:val="18"/>
        </w:rPr>
        <w:t>, report of the Northern Ireland Victims Commissioner, Sir Kenneth Bloomfield, April 1998, p. 27.</w:t>
      </w:r>
    </w:p>
  </w:footnote>
  <w:footnote w:id="15">
    <w:p w:rsidR="00B02421" w:rsidRPr="00A73C98" w:rsidRDefault="00B02421" w:rsidP="00356AA1">
      <w:pPr>
        <w:pStyle w:val="FootnoteText"/>
        <w:widowControl w:val="0"/>
        <w:tabs>
          <w:tab w:val="clear" w:pos="1021"/>
          <w:tab w:val="right" w:pos="1020"/>
        </w:tabs>
        <w:spacing w:line="240" w:lineRule="atLeast"/>
        <w:ind w:left="1138" w:right="1138" w:hanging="1138"/>
        <w:jc w:val="both"/>
        <w:rPr>
          <w:szCs w:val="18"/>
        </w:rPr>
      </w:pPr>
      <w:r w:rsidRPr="00A73C98">
        <w:rPr>
          <w:szCs w:val="18"/>
        </w:rPr>
        <w:tab/>
      </w:r>
      <w:r w:rsidRPr="00A73C98">
        <w:rPr>
          <w:rStyle w:val="FootnoteReference"/>
          <w:szCs w:val="18"/>
        </w:rPr>
        <w:footnoteRef/>
      </w:r>
      <w:r w:rsidRPr="00A73C98">
        <w:rPr>
          <w:szCs w:val="18"/>
        </w:rPr>
        <w:tab/>
      </w:r>
      <w:proofErr w:type="gramStart"/>
      <w:r w:rsidRPr="00A73C98">
        <w:rPr>
          <w:szCs w:val="18"/>
        </w:rPr>
        <w:t>See Michael Potter and Anne Campbell, “Funding for Victims and Survivors Groups in Northern Ireland”, Northern Ireland Assembly, 2 October 2014.</w:t>
      </w:r>
      <w:proofErr w:type="gramEnd"/>
      <w:r w:rsidRPr="00A73C98">
        <w:rPr>
          <w:szCs w:val="18"/>
        </w:rPr>
        <w:t xml:space="preserve"> </w:t>
      </w:r>
    </w:p>
  </w:footnote>
  <w:footnote w:id="16">
    <w:p w:rsidR="00B02421" w:rsidRPr="00A73C98" w:rsidRDefault="00B02421" w:rsidP="00356AA1">
      <w:pPr>
        <w:pStyle w:val="FootnoteText"/>
        <w:spacing w:line="240" w:lineRule="atLeast"/>
        <w:ind w:left="1138" w:right="1138" w:hanging="1138"/>
        <w:jc w:val="both"/>
        <w:rPr>
          <w:szCs w:val="18"/>
        </w:rPr>
      </w:pPr>
      <w:r w:rsidRPr="00A73C98">
        <w:rPr>
          <w:szCs w:val="18"/>
        </w:rPr>
        <w:tab/>
      </w:r>
      <w:r w:rsidRPr="00A73C98">
        <w:rPr>
          <w:rStyle w:val="FootnoteReference"/>
          <w:szCs w:val="18"/>
        </w:rPr>
        <w:footnoteRef/>
      </w:r>
      <w:r w:rsidRPr="00A73C98">
        <w:rPr>
          <w:szCs w:val="18"/>
        </w:rPr>
        <w:tab/>
        <w:t xml:space="preserve">Office of the First Minister and Deputy First Minister, Strategy for Victims and Survivors, November 2009. </w:t>
      </w:r>
    </w:p>
  </w:footnote>
  <w:footnote w:id="17">
    <w:p w:rsidR="00B02421" w:rsidRPr="00356AA1" w:rsidRDefault="00B02421" w:rsidP="00356AA1">
      <w:pPr>
        <w:pStyle w:val="FootnoteText"/>
        <w:spacing w:line="240" w:lineRule="atLeast"/>
        <w:ind w:left="1138" w:right="1138" w:hanging="1138"/>
        <w:jc w:val="both"/>
        <w:rPr>
          <w:rFonts w:ascii="Verdana" w:hAnsi="Verdana"/>
          <w:szCs w:val="18"/>
        </w:rPr>
      </w:pPr>
      <w:r w:rsidRPr="00A73C98">
        <w:rPr>
          <w:szCs w:val="18"/>
        </w:rPr>
        <w:tab/>
      </w:r>
      <w:r w:rsidRPr="00A73C98">
        <w:rPr>
          <w:rStyle w:val="FootnoteReference"/>
          <w:szCs w:val="18"/>
        </w:rPr>
        <w:footnoteRef/>
      </w:r>
      <w:r w:rsidRPr="00A73C98">
        <w:rPr>
          <w:szCs w:val="18"/>
        </w:rPr>
        <w:tab/>
        <w:t xml:space="preserve">See Bloomfield, </w:t>
      </w:r>
      <w:r w:rsidRPr="00A73C98">
        <w:rPr>
          <w:i/>
          <w:szCs w:val="18"/>
        </w:rPr>
        <w:t>We Will Remember Them</w:t>
      </w:r>
      <w:r w:rsidRPr="00A73C98">
        <w:rPr>
          <w:szCs w:val="18"/>
        </w:rPr>
        <w:t xml:space="preserve"> (</w:t>
      </w:r>
      <w:r w:rsidR="00F8553F">
        <w:rPr>
          <w:szCs w:val="18"/>
        </w:rPr>
        <w:t xml:space="preserve">see </w:t>
      </w:r>
      <w:r w:rsidRPr="00A73C98">
        <w:rPr>
          <w:szCs w:val="18"/>
        </w:rPr>
        <w:t>footnote</w:t>
      </w:r>
      <w:r w:rsidR="007D67FA">
        <w:rPr>
          <w:szCs w:val="18"/>
        </w:rPr>
        <w:t xml:space="preserve"> 12</w:t>
      </w:r>
      <w:r w:rsidRPr="00A73C98">
        <w:rPr>
          <w:szCs w:val="18"/>
        </w:rPr>
        <w:t>), p. 27.</w:t>
      </w:r>
      <w:r>
        <w:rPr>
          <w:rFonts w:ascii="Verdana" w:hAnsi="Verdana"/>
          <w:szCs w:val="18"/>
        </w:rPr>
        <w:t xml:space="preserve"> </w:t>
      </w:r>
    </w:p>
  </w:footnote>
  <w:footnote w:id="18">
    <w:p w:rsidR="00B02421" w:rsidRPr="00356AA1" w:rsidRDefault="00B02421" w:rsidP="00356AA1">
      <w:pPr>
        <w:pStyle w:val="FootnoteText"/>
        <w:spacing w:line="240" w:lineRule="atLeast"/>
        <w:ind w:left="1138" w:right="1138" w:hanging="1138"/>
        <w:jc w:val="both"/>
        <w:rPr>
          <w:rFonts w:ascii="Verdana" w:hAnsi="Verdana"/>
          <w:szCs w:val="18"/>
          <w:lang w:val="en-US"/>
        </w:rPr>
      </w:pPr>
      <w:r w:rsidRPr="00A73C98">
        <w:rPr>
          <w:szCs w:val="18"/>
        </w:rPr>
        <w:tab/>
      </w:r>
      <w:r w:rsidRPr="00A73C98">
        <w:rPr>
          <w:rStyle w:val="FootnoteReference"/>
          <w:szCs w:val="18"/>
        </w:rPr>
        <w:footnoteRef/>
      </w:r>
      <w:r w:rsidRPr="00A73C98">
        <w:rPr>
          <w:szCs w:val="18"/>
        </w:rPr>
        <w:tab/>
      </w:r>
      <w:proofErr w:type="spellStart"/>
      <w:r w:rsidRPr="00A73C98">
        <w:rPr>
          <w:szCs w:val="18"/>
        </w:rPr>
        <w:t>Fionnuala</w:t>
      </w:r>
      <w:proofErr w:type="spellEnd"/>
      <w:r w:rsidRPr="00A73C98">
        <w:rPr>
          <w:szCs w:val="18"/>
        </w:rPr>
        <w:t xml:space="preserve"> </w:t>
      </w:r>
      <w:proofErr w:type="spellStart"/>
      <w:r w:rsidRPr="00A73C98">
        <w:rPr>
          <w:szCs w:val="18"/>
        </w:rPr>
        <w:t>Ní</w:t>
      </w:r>
      <w:proofErr w:type="spellEnd"/>
      <w:r w:rsidRPr="00A73C98">
        <w:rPr>
          <w:szCs w:val="18"/>
        </w:rPr>
        <w:t xml:space="preserve"> </w:t>
      </w:r>
      <w:proofErr w:type="spellStart"/>
      <w:r w:rsidRPr="00A73C98">
        <w:rPr>
          <w:szCs w:val="18"/>
        </w:rPr>
        <w:t>Aoláin</w:t>
      </w:r>
      <w:proofErr w:type="spellEnd"/>
      <w:r w:rsidRPr="00A73C98">
        <w:rPr>
          <w:szCs w:val="18"/>
        </w:rPr>
        <w:t xml:space="preserve">, Catherine O’Rourke and </w:t>
      </w:r>
      <w:proofErr w:type="spellStart"/>
      <w:r w:rsidRPr="00A73C98">
        <w:rPr>
          <w:szCs w:val="18"/>
        </w:rPr>
        <w:t>Aisling</w:t>
      </w:r>
      <w:proofErr w:type="spellEnd"/>
      <w:r w:rsidRPr="00A73C98">
        <w:rPr>
          <w:szCs w:val="18"/>
        </w:rPr>
        <w:t xml:space="preserve"> </w:t>
      </w:r>
      <w:proofErr w:type="spellStart"/>
      <w:r w:rsidRPr="00A73C98">
        <w:rPr>
          <w:szCs w:val="18"/>
        </w:rPr>
        <w:t>Swaine</w:t>
      </w:r>
      <w:proofErr w:type="spellEnd"/>
      <w:r w:rsidRPr="00A73C98">
        <w:rPr>
          <w:szCs w:val="18"/>
        </w:rPr>
        <w:t xml:space="preserve">, “Transforming Reparations for Conflict-Related Sexual Violence: Principles and Practice”, </w:t>
      </w:r>
      <w:r w:rsidRPr="00A73C98">
        <w:rPr>
          <w:i/>
          <w:szCs w:val="18"/>
        </w:rPr>
        <w:t>Harvard Human Rights Journal</w:t>
      </w:r>
      <w:r w:rsidRPr="00A73C98">
        <w:rPr>
          <w:szCs w:val="18"/>
        </w:rPr>
        <w:t>, vol. 28, 2015, p. 97.</w:t>
      </w:r>
      <w:r>
        <w:rPr>
          <w:rFonts w:ascii="Verdana" w:hAnsi="Verdana"/>
          <w:szCs w:val="18"/>
          <w:lang w:val="en-US"/>
        </w:rPr>
        <w:t xml:space="preserve"> </w:t>
      </w:r>
    </w:p>
  </w:footnote>
  <w:footnote w:id="19">
    <w:p w:rsidR="00B02421" w:rsidRPr="00A73C98" w:rsidRDefault="00B02421" w:rsidP="00356AA1">
      <w:pPr>
        <w:pStyle w:val="FootnoteText"/>
        <w:widowControl w:val="0"/>
        <w:tabs>
          <w:tab w:val="clear" w:pos="1021"/>
          <w:tab w:val="right" w:pos="1020"/>
        </w:tabs>
        <w:spacing w:line="240" w:lineRule="atLeast"/>
        <w:ind w:left="1138" w:right="1138" w:hanging="1138"/>
        <w:jc w:val="both"/>
        <w:rPr>
          <w:szCs w:val="18"/>
        </w:rPr>
      </w:pPr>
      <w:r w:rsidRPr="00A73C98">
        <w:rPr>
          <w:szCs w:val="18"/>
        </w:rPr>
        <w:tab/>
      </w:r>
      <w:r w:rsidRPr="00A73C98">
        <w:rPr>
          <w:rStyle w:val="FootnoteReference"/>
          <w:szCs w:val="18"/>
        </w:rPr>
        <w:footnoteRef/>
      </w:r>
      <w:r w:rsidRPr="00A73C98">
        <w:rPr>
          <w:szCs w:val="18"/>
        </w:rPr>
        <w:tab/>
        <w:t xml:space="preserve">Two eligible </w:t>
      </w:r>
      <w:r>
        <w:rPr>
          <w:szCs w:val="18"/>
        </w:rPr>
        <w:t>people</w:t>
      </w:r>
      <w:r w:rsidRPr="00A73C98">
        <w:rPr>
          <w:szCs w:val="18"/>
        </w:rPr>
        <w:t xml:space="preserve"> died between the first and second visit</w:t>
      </w:r>
      <w:r>
        <w:rPr>
          <w:szCs w:val="18"/>
        </w:rPr>
        <w:t>s</w:t>
      </w:r>
      <w:r w:rsidRPr="00A73C98">
        <w:rPr>
          <w:szCs w:val="18"/>
        </w:rPr>
        <w:t xml:space="preserve"> by the Special Rapporteur while await</w:t>
      </w:r>
      <w:r>
        <w:rPr>
          <w:szCs w:val="18"/>
        </w:rPr>
        <w:t>ing</w:t>
      </w:r>
      <w:r w:rsidRPr="00A73C98">
        <w:rPr>
          <w:szCs w:val="18"/>
        </w:rPr>
        <w:t xml:space="preserve"> </w:t>
      </w:r>
      <w:r>
        <w:rPr>
          <w:szCs w:val="18"/>
        </w:rPr>
        <w:t>a settlement</w:t>
      </w:r>
      <w:r w:rsidRPr="00A73C98">
        <w:rPr>
          <w:szCs w:val="18"/>
        </w:rPr>
        <w:t>.</w:t>
      </w:r>
    </w:p>
  </w:footnote>
  <w:footnote w:id="20">
    <w:p w:rsidR="00B02421" w:rsidRPr="00356AA1" w:rsidRDefault="00B02421" w:rsidP="00356AA1">
      <w:pPr>
        <w:pStyle w:val="FootnoteText"/>
        <w:tabs>
          <w:tab w:val="clear" w:pos="1021"/>
          <w:tab w:val="right" w:pos="1020"/>
        </w:tabs>
        <w:spacing w:line="240" w:lineRule="atLeast"/>
        <w:ind w:left="1138" w:right="1138" w:hanging="1138"/>
        <w:jc w:val="both"/>
        <w:rPr>
          <w:rFonts w:ascii="Verdana" w:hAnsi="Verdana"/>
          <w:szCs w:val="18"/>
        </w:rPr>
      </w:pPr>
      <w:r w:rsidRPr="00A73C98">
        <w:rPr>
          <w:szCs w:val="18"/>
        </w:rPr>
        <w:tab/>
      </w:r>
      <w:r w:rsidRPr="00A73C98">
        <w:rPr>
          <w:rStyle w:val="FootnoteReference"/>
          <w:szCs w:val="18"/>
        </w:rPr>
        <w:footnoteRef/>
      </w:r>
      <w:r w:rsidRPr="00A73C98">
        <w:rPr>
          <w:szCs w:val="18"/>
        </w:rPr>
        <w:tab/>
        <w:t xml:space="preserve">Some groups </w:t>
      </w:r>
      <w:r>
        <w:rPr>
          <w:szCs w:val="18"/>
        </w:rPr>
        <w:t>informed</w:t>
      </w:r>
      <w:r w:rsidRPr="00A73C98">
        <w:rPr>
          <w:szCs w:val="18"/>
        </w:rPr>
        <w:t xml:space="preserve"> the Special Rapporteur that they prefer</w:t>
      </w:r>
      <w:r>
        <w:rPr>
          <w:szCs w:val="18"/>
        </w:rPr>
        <w:t>red</w:t>
      </w:r>
      <w:r w:rsidRPr="00A73C98">
        <w:rPr>
          <w:szCs w:val="18"/>
        </w:rPr>
        <w:t xml:space="preserve"> the definition of victim </w:t>
      </w:r>
      <w:r>
        <w:rPr>
          <w:szCs w:val="18"/>
        </w:rPr>
        <w:t xml:space="preserve">used </w:t>
      </w:r>
      <w:r w:rsidRPr="00A73C98">
        <w:rPr>
          <w:szCs w:val="18"/>
        </w:rPr>
        <w:t>in the E</w:t>
      </w:r>
      <w:r>
        <w:rPr>
          <w:szCs w:val="18"/>
        </w:rPr>
        <w:t xml:space="preserve">uropean </w:t>
      </w:r>
      <w:r w:rsidRPr="00A73C98">
        <w:rPr>
          <w:szCs w:val="18"/>
        </w:rPr>
        <w:t>U</w:t>
      </w:r>
      <w:r>
        <w:rPr>
          <w:szCs w:val="18"/>
        </w:rPr>
        <w:t>nion</w:t>
      </w:r>
      <w:r w:rsidRPr="00A73C98">
        <w:rPr>
          <w:szCs w:val="18"/>
        </w:rPr>
        <w:t xml:space="preserve"> Directive on </w:t>
      </w:r>
      <w:r>
        <w:rPr>
          <w:szCs w:val="18"/>
        </w:rPr>
        <w:t xml:space="preserve">the rights of, support and protection of </w:t>
      </w:r>
      <w:r w:rsidRPr="00A73C98">
        <w:rPr>
          <w:szCs w:val="18"/>
        </w:rPr>
        <w:t>victims of crime (2012/29/EU)</w:t>
      </w:r>
      <w:r>
        <w:rPr>
          <w:szCs w:val="18"/>
        </w:rPr>
        <w:t>, given that it</w:t>
      </w:r>
      <w:r w:rsidRPr="00A73C98">
        <w:rPr>
          <w:szCs w:val="18"/>
        </w:rPr>
        <w:t xml:space="preserve"> would exclude those responsible for criminal activity</w:t>
      </w:r>
      <w:r w:rsidRPr="000E496A">
        <w:rPr>
          <w:szCs w:val="18"/>
        </w:rPr>
        <w:t xml:space="preserve"> </w:t>
      </w:r>
      <w:r w:rsidRPr="00A73C98">
        <w:rPr>
          <w:szCs w:val="18"/>
        </w:rPr>
        <w:t xml:space="preserve">from </w:t>
      </w:r>
      <w:r>
        <w:rPr>
          <w:szCs w:val="18"/>
        </w:rPr>
        <w:t xml:space="preserve">receiving </w:t>
      </w:r>
      <w:r w:rsidRPr="00A73C98">
        <w:rPr>
          <w:szCs w:val="18"/>
        </w:rPr>
        <w:t>benefits</w:t>
      </w:r>
      <w:r>
        <w:rPr>
          <w:rFonts w:ascii="Verdana" w:hAnsi="Verdana"/>
          <w:szCs w:val="18"/>
        </w:rPr>
        <w:t xml:space="preserve"> </w:t>
      </w:r>
    </w:p>
  </w:footnote>
  <w:footnote w:id="21">
    <w:p w:rsidR="00B02421" w:rsidRPr="00356AA1" w:rsidRDefault="00B02421" w:rsidP="00356AA1">
      <w:pPr>
        <w:pStyle w:val="FootnoteText"/>
        <w:spacing w:line="240" w:lineRule="atLeast"/>
        <w:ind w:left="1138" w:right="1138" w:hanging="1138"/>
        <w:jc w:val="both"/>
        <w:rPr>
          <w:rFonts w:ascii="Verdana" w:hAnsi="Verdana"/>
          <w:szCs w:val="18"/>
        </w:rPr>
      </w:pPr>
      <w:r w:rsidRPr="00A73C98">
        <w:rPr>
          <w:szCs w:val="18"/>
        </w:rPr>
        <w:tab/>
      </w:r>
      <w:r w:rsidRPr="00A73C98">
        <w:rPr>
          <w:rStyle w:val="FootnoteReference"/>
          <w:szCs w:val="18"/>
        </w:rPr>
        <w:footnoteRef/>
      </w:r>
      <w:r w:rsidRPr="00A73C98">
        <w:rPr>
          <w:szCs w:val="18"/>
        </w:rPr>
        <w:tab/>
        <w:t xml:space="preserve">See </w:t>
      </w:r>
      <w:r>
        <w:rPr>
          <w:szCs w:val="18"/>
        </w:rPr>
        <w:t xml:space="preserve">General Assembly resolution </w:t>
      </w:r>
      <w:r w:rsidRPr="00A73C98">
        <w:rPr>
          <w:szCs w:val="18"/>
        </w:rPr>
        <w:t>60/147</w:t>
      </w:r>
      <w:r>
        <w:rPr>
          <w:szCs w:val="18"/>
        </w:rPr>
        <w:t>, annex,</w:t>
      </w:r>
      <w:r w:rsidRPr="00A73C98">
        <w:rPr>
          <w:szCs w:val="18"/>
        </w:rPr>
        <w:t xml:space="preserve"> </w:t>
      </w:r>
      <w:proofErr w:type="gramStart"/>
      <w:r>
        <w:rPr>
          <w:szCs w:val="18"/>
        </w:rPr>
        <w:t>p</w:t>
      </w:r>
      <w:r w:rsidRPr="00A73C98">
        <w:rPr>
          <w:szCs w:val="18"/>
        </w:rPr>
        <w:t>ara</w:t>
      </w:r>
      <w:proofErr w:type="gramEnd"/>
      <w:r w:rsidRPr="00A73C98">
        <w:rPr>
          <w:szCs w:val="18"/>
        </w:rPr>
        <w:t>. 8.</w:t>
      </w:r>
      <w:r>
        <w:rPr>
          <w:rFonts w:ascii="Verdana" w:hAnsi="Verdana"/>
          <w:szCs w:val="18"/>
        </w:rPr>
        <w:t xml:space="preserve"> </w:t>
      </w:r>
    </w:p>
  </w:footnote>
  <w:footnote w:id="22">
    <w:p w:rsidR="00B02421" w:rsidRPr="00356AA1" w:rsidRDefault="00B02421" w:rsidP="00356AA1">
      <w:pPr>
        <w:pStyle w:val="FootnoteText"/>
        <w:spacing w:line="240" w:lineRule="atLeast"/>
        <w:ind w:left="1138" w:right="1138" w:hanging="1138"/>
        <w:jc w:val="both"/>
        <w:rPr>
          <w:rFonts w:ascii="Verdana" w:hAnsi="Verdana"/>
          <w:szCs w:val="18"/>
        </w:rPr>
      </w:pPr>
      <w:r w:rsidRPr="00A73C98">
        <w:rPr>
          <w:szCs w:val="18"/>
        </w:rPr>
        <w:tab/>
      </w:r>
      <w:r w:rsidRPr="00A73C98">
        <w:rPr>
          <w:rStyle w:val="FootnoteReference"/>
          <w:szCs w:val="18"/>
        </w:rPr>
        <w:footnoteRef/>
      </w:r>
      <w:r w:rsidRPr="00A73C98">
        <w:rPr>
          <w:szCs w:val="18"/>
        </w:rPr>
        <w:tab/>
        <w:t xml:space="preserve">See jurisprudence of the Inter-American Court of Human Rights, </w:t>
      </w:r>
      <w:r>
        <w:rPr>
          <w:szCs w:val="18"/>
        </w:rPr>
        <w:t>for example,</w:t>
      </w:r>
      <w:r w:rsidRPr="00A73C98">
        <w:rPr>
          <w:szCs w:val="18"/>
        </w:rPr>
        <w:t xml:space="preserve"> </w:t>
      </w:r>
      <w:proofErr w:type="spellStart"/>
      <w:r w:rsidRPr="00A73C98">
        <w:rPr>
          <w:szCs w:val="18"/>
        </w:rPr>
        <w:t>Neira-Alegría</w:t>
      </w:r>
      <w:proofErr w:type="spellEnd"/>
      <w:r w:rsidRPr="00A73C98">
        <w:rPr>
          <w:szCs w:val="18"/>
        </w:rPr>
        <w:t xml:space="preserve"> </w:t>
      </w:r>
      <w:r>
        <w:rPr>
          <w:szCs w:val="18"/>
        </w:rPr>
        <w:t xml:space="preserve">et al. </w:t>
      </w:r>
      <w:r w:rsidRPr="00A73C98">
        <w:rPr>
          <w:szCs w:val="18"/>
        </w:rPr>
        <w:t>v. Peru, 1996</w:t>
      </w:r>
      <w:r>
        <w:rPr>
          <w:szCs w:val="18"/>
        </w:rPr>
        <w:t>,</w:t>
      </w:r>
      <w:r w:rsidRPr="00A73C98">
        <w:rPr>
          <w:szCs w:val="18"/>
        </w:rPr>
        <w:t xml:space="preserve"> </w:t>
      </w:r>
      <w:r>
        <w:rPr>
          <w:szCs w:val="18"/>
        </w:rPr>
        <w:t xml:space="preserve">in which the Court </w:t>
      </w:r>
      <w:r w:rsidRPr="00A73C98">
        <w:rPr>
          <w:szCs w:val="18"/>
        </w:rPr>
        <w:t>stress</w:t>
      </w:r>
      <w:r>
        <w:rPr>
          <w:szCs w:val="18"/>
        </w:rPr>
        <w:t>ed</w:t>
      </w:r>
      <w:r w:rsidRPr="00A73C98">
        <w:rPr>
          <w:szCs w:val="18"/>
        </w:rPr>
        <w:t xml:space="preserve"> that even </w:t>
      </w:r>
      <w:r>
        <w:rPr>
          <w:szCs w:val="18"/>
        </w:rPr>
        <w:t>“</w:t>
      </w:r>
      <w:r w:rsidRPr="00A73C98">
        <w:rPr>
          <w:szCs w:val="18"/>
        </w:rPr>
        <w:t>terrorists</w:t>
      </w:r>
      <w:r>
        <w:rPr>
          <w:szCs w:val="18"/>
        </w:rPr>
        <w:t>”</w:t>
      </w:r>
      <w:r w:rsidRPr="00A73C98">
        <w:rPr>
          <w:szCs w:val="18"/>
        </w:rPr>
        <w:t xml:space="preserve"> ha</w:t>
      </w:r>
      <w:r>
        <w:rPr>
          <w:szCs w:val="18"/>
        </w:rPr>
        <w:t>d</w:t>
      </w:r>
      <w:r w:rsidRPr="00A73C98">
        <w:rPr>
          <w:szCs w:val="18"/>
        </w:rPr>
        <w:t xml:space="preserve"> </w:t>
      </w:r>
      <w:r>
        <w:rPr>
          <w:szCs w:val="18"/>
        </w:rPr>
        <w:t xml:space="preserve">a </w:t>
      </w:r>
      <w:r w:rsidRPr="00A73C98">
        <w:rPr>
          <w:szCs w:val="18"/>
        </w:rPr>
        <w:t xml:space="preserve">right </w:t>
      </w:r>
      <w:r>
        <w:rPr>
          <w:szCs w:val="18"/>
        </w:rPr>
        <w:t>of</w:t>
      </w:r>
      <w:r w:rsidRPr="00A73C98">
        <w:rPr>
          <w:szCs w:val="18"/>
        </w:rPr>
        <w:t xml:space="preserve"> redress.</w:t>
      </w:r>
      <w:r>
        <w:rPr>
          <w:szCs w:val="18"/>
        </w:rPr>
        <w:t xml:space="preserve"> </w:t>
      </w:r>
    </w:p>
  </w:footnote>
  <w:footnote w:id="23">
    <w:p w:rsidR="00B02421" w:rsidRPr="00356AA1" w:rsidRDefault="00B02421" w:rsidP="00356AA1">
      <w:pPr>
        <w:pStyle w:val="FootnoteText"/>
        <w:spacing w:line="240" w:lineRule="atLeast"/>
        <w:ind w:left="1138" w:right="1138" w:hanging="1138"/>
        <w:jc w:val="both"/>
        <w:rPr>
          <w:rFonts w:ascii="Verdana" w:hAnsi="Verdana"/>
          <w:szCs w:val="18"/>
          <w:lang w:val="en-US"/>
        </w:rPr>
      </w:pPr>
      <w:r w:rsidRPr="00A73C98">
        <w:rPr>
          <w:szCs w:val="18"/>
        </w:rPr>
        <w:tab/>
      </w:r>
      <w:r w:rsidRPr="00A73C98">
        <w:rPr>
          <w:rStyle w:val="FootnoteReference"/>
          <w:szCs w:val="18"/>
        </w:rPr>
        <w:footnoteRef/>
      </w:r>
      <w:r w:rsidRPr="00A73C98">
        <w:rPr>
          <w:szCs w:val="18"/>
        </w:rPr>
        <w:tab/>
        <w:t xml:space="preserve">See </w:t>
      </w:r>
      <w:r>
        <w:rPr>
          <w:szCs w:val="18"/>
        </w:rPr>
        <w:t xml:space="preserve">for example Brian </w:t>
      </w:r>
      <w:proofErr w:type="spellStart"/>
      <w:r>
        <w:rPr>
          <w:szCs w:val="18"/>
        </w:rPr>
        <w:t>Gormally</w:t>
      </w:r>
      <w:proofErr w:type="spellEnd"/>
      <w:r>
        <w:rPr>
          <w:szCs w:val="18"/>
        </w:rPr>
        <w:t>,</w:t>
      </w:r>
      <w:r w:rsidRPr="00A73C98">
        <w:rPr>
          <w:szCs w:val="18"/>
        </w:rPr>
        <w:t xml:space="preserve"> </w:t>
      </w:r>
      <w:r>
        <w:rPr>
          <w:szCs w:val="18"/>
        </w:rPr>
        <w:t>“</w:t>
      </w:r>
      <w:r w:rsidRPr="00A73C98">
        <w:rPr>
          <w:szCs w:val="18"/>
        </w:rPr>
        <w:t>Acknowledgement and its Role in Preventing Future Violence</w:t>
      </w:r>
      <w:r>
        <w:rPr>
          <w:szCs w:val="18"/>
        </w:rPr>
        <w:t>”, d</w:t>
      </w:r>
      <w:r w:rsidRPr="00A73C98">
        <w:rPr>
          <w:szCs w:val="18"/>
        </w:rPr>
        <w:t xml:space="preserve">iscussion </w:t>
      </w:r>
      <w:r>
        <w:rPr>
          <w:szCs w:val="18"/>
        </w:rPr>
        <w:t>p</w:t>
      </w:r>
      <w:r w:rsidRPr="00A73C98">
        <w:rPr>
          <w:szCs w:val="18"/>
        </w:rPr>
        <w:t xml:space="preserve">aper and </w:t>
      </w:r>
      <w:r>
        <w:rPr>
          <w:szCs w:val="18"/>
        </w:rPr>
        <w:t>p</w:t>
      </w:r>
      <w:r w:rsidRPr="00A73C98">
        <w:rPr>
          <w:szCs w:val="18"/>
        </w:rPr>
        <w:t>roposal</w:t>
      </w:r>
      <w:r>
        <w:rPr>
          <w:szCs w:val="18"/>
        </w:rPr>
        <w:t>, September</w:t>
      </w:r>
      <w:r w:rsidRPr="00A73C98">
        <w:rPr>
          <w:szCs w:val="18"/>
        </w:rPr>
        <w:t xml:space="preserve"> 2006. </w:t>
      </w:r>
    </w:p>
  </w:footnote>
  <w:footnote w:id="24">
    <w:p w:rsidR="00B02421" w:rsidRPr="00A73C98" w:rsidRDefault="00B02421" w:rsidP="00356AA1">
      <w:pPr>
        <w:pStyle w:val="FootnoteText"/>
        <w:widowControl w:val="0"/>
        <w:tabs>
          <w:tab w:val="clear" w:pos="1021"/>
          <w:tab w:val="right" w:pos="1020"/>
        </w:tabs>
        <w:spacing w:line="240" w:lineRule="atLeast"/>
        <w:ind w:left="1138" w:right="1138" w:hanging="1138"/>
        <w:jc w:val="both"/>
        <w:rPr>
          <w:szCs w:val="18"/>
        </w:rPr>
      </w:pPr>
      <w:r w:rsidRPr="00A73C98">
        <w:rPr>
          <w:szCs w:val="18"/>
        </w:rPr>
        <w:tab/>
      </w:r>
      <w:r w:rsidRPr="00A73C98">
        <w:rPr>
          <w:rStyle w:val="FootnoteReference"/>
          <w:szCs w:val="18"/>
        </w:rPr>
        <w:footnoteRef/>
      </w:r>
      <w:r w:rsidRPr="00A73C98">
        <w:rPr>
          <w:szCs w:val="18"/>
        </w:rPr>
        <w:tab/>
        <w:t>See C</w:t>
      </w:r>
      <w:r>
        <w:rPr>
          <w:szCs w:val="18"/>
        </w:rPr>
        <w:t>olin</w:t>
      </w:r>
      <w:r w:rsidRPr="00A73C98">
        <w:rPr>
          <w:szCs w:val="18"/>
        </w:rPr>
        <w:t xml:space="preserve"> Knox, “Cohesion, Sharing, and Integration in Northern Ireland”</w:t>
      </w:r>
      <w:r>
        <w:rPr>
          <w:szCs w:val="18"/>
        </w:rPr>
        <w:t>,</w:t>
      </w:r>
      <w:r w:rsidRPr="00A73C98">
        <w:rPr>
          <w:szCs w:val="18"/>
        </w:rPr>
        <w:t xml:space="preserve"> </w:t>
      </w:r>
      <w:r w:rsidRPr="00356AA1">
        <w:rPr>
          <w:i/>
          <w:szCs w:val="18"/>
        </w:rPr>
        <w:t>Environment and Planning C:</w:t>
      </w:r>
      <w:r w:rsidRPr="00A73C98">
        <w:rPr>
          <w:szCs w:val="18"/>
        </w:rPr>
        <w:t xml:space="preserve"> </w:t>
      </w:r>
      <w:r w:rsidRPr="00A73C98">
        <w:rPr>
          <w:i/>
          <w:szCs w:val="18"/>
        </w:rPr>
        <w:t>Government and Policy</w:t>
      </w:r>
      <w:r w:rsidRPr="00A73C98">
        <w:rPr>
          <w:szCs w:val="18"/>
        </w:rPr>
        <w:t>, 2011</w:t>
      </w:r>
      <w:r>
        <w:rPr>
          <w:szCs w:val="18"/>
        </w:rPr>
        <w:t>,</w:t>
      </w:r>
      <w:r w:rsidRPr="00A73C98">
        <w:rPr>
          <w:szCs w:val="18"/>
        </w:rPr>
        <w:t xml:space="preserve"> </w:t>
      </w:r>
      <w:r>
        <w:rPr>
          <w:szCs w:val="18"/>
        </w:rPr>
        <w:t xml:space="preserve">vol. </w:t>
      </w:r>
      <w:r w:rsidRPr="00A73C98">
        <w:rPr>
          <w:szCs w:val="18"/>
        </w:rPr>
        <w:t>29</w:t>
      </w:r>
      <w:r>
        <w:rPr>
          <w:szCs w:val="18"/>
        </w:rPr>
        <w:t xml:space="preserve">, No. </w:t>
      </w:r>
      <w:r w:rsidRPr="00A73C98">
        <w:rPr>
          <w:szCs w:val="18"/>
        </w:rPr>
        <w:t>3, p.</w:t>
      </w:r>
      <w:r>
        <w:rPr>
          <w:szCs w:val="18"/>
        </w:rPr>
        <w:t xml:space="preserve"> </w:t>
      </w:r>
      <w:r w:rsidRPr="00A73C98">
        <w:rPr>
          <w:szCs w:val="18"/>
        </w:rPr>
        <w:t xml:space="preserve">551. </w:t>
      </w:r>
    </w:p>
  </w:footnote>
  <w:footnote w:id="25">
    <w:p w:rsidR="00B02421" w:rsidRPr="00356AA1" w:rsidRDefault="00B02421" w:rsidP="00356AA1">
      <w:pPr>
        <w:pStyle w:val="FootnoteText"/>
        <w:spacing w:line="240" w:lineRule="atLeast"/>
        <w:ind w:left="1138" w:right="1138" w:hanging="1138"/>
        <w:jc w:val="both"/>
        <w:rPr>
          <w:rFonts w:ascii="Verdana" w:hAnsi="Verdana"/>
          <w:szCs w:val="18"/>
          <w:lang w:val="en-US"/>
        </w:rPr>
      </w:pPr>
      <w:r w:rsidRPr="00A73C98">
        <w:rPr>
          <w:szCs w:val="18"/>
        </w:rPr>
        <w:tab/>
      </w:r>
      <w:r w:rsidRPr="00A73C98">
        <w:rPr>
          <w:rStyle w:val="FootnoteReference"/>
          <w:szCs w:val="18"/>
        </w:rPr>
        <w:footnoteRef/>
      </w:r>
      <w:r w:rsidRPr="00A73C98">
        <w:rPr>
          <w:szCs w:val="18"/>
        </w:rPr>
        <w:tab/>
      </w:r>
      <w:r>
        <w:rPr>
          <w:szCs w:val="18"/>
        </w:rPr>
        <w:t>Department of Justice, “Perceptions of Policing, Justice and Anti-Social Behaviour: Quarterly Update to December 2015</w:t>
      </w:r>
      <w:proofErr w:type="gramStart"/>
      <w:r>
        <w:rPr>
          <w:szCs w:val="18"/>
        </w:rPr>
        <w:t>”,</w:t>
      </w:r>
      <w:proofErr w:type="gramEnd"/>
      <w:r>
        <w:rPr>
          <w:szCs w:val="18"/>
        </w:rPr>
        <w:t xml:space="preserve"> May 2016. </w:t>
      </w:r>
    </w:p>
  </w:footnote>
  <w:footnote w:id="26">
    <w:p w:rsidR="00B02421" w:rsidRPr="00356AA1" w:rsidRDefault="00B02421" w:rsidP="00356AA1">
      <w:pPr>
        <w:pStyle w:val="FootnoteText"/>
        <w:tabs>
          <w:tab w:val="clear" w:pos="1021"/>
          <w:tab w:val="right" w:pos="1020"/>
        </w:tabs>
        <w:spacing w:line="240" w:lineRule="atLeast"/>
        <w:ind w:left="1138" w:right="1138" w:hanging="1138"/>
        <w:jc w:val="both"/>
        <w:rPr>
          <w:rFonts w:ascii="Verdana" w:hAnsi="Verdana"/>
          <w:szCs w:val="18"/>
        </w:rPr>
      </w:pPr>
      <w:r w:rsidRPr="00A73C98">
        <w:rPr>
          <w:szCs w:val="18"/>
        </w:rPr>
        <w:tab/>
      </w:r>
      <w:r w:rsidRPr="00A73C98">
        <w:rPr>
          <w:rStyle w:val="FootnoteReference"/>
          <w:szCs w:val="18"/>
        </w:rPr>
        <w:footnoteRef/>
      </w:r>
      <w:r w:rsidRPr="00A73C98">
        <w:rPr>
          <w:szCs w:val="18"/>
        </w:rPr>
        <w:tab/>
        <w:t>For some of the remaining challenges</w:t>
      </w:r>
      <w:r>
        <w:rPr>
          <w:szCs w:val="18"/>
        </w:rPr>
        <w:t>,</w:t>
      </w:r>
      <w:r w:rsidRPr="00A73C98">
        <w:rPr>
          <w:szCs w:val="18"/>
        </w:rPr>
        <w:t xml:space="preserve"> see </w:t>
      </w:r>
      <w:r>
        <w:rPr>
          <w:szCs w:val="18"/>
        </w:rPr>
        <w:t xml:space="preserve">the </w:t>
      </w:r>
      <w:r w:rsidRPr="00A73C98">
        <w:rPr>
          <w:szCs w:val="18"/>
        </w:rPr>
        <w:t xml:space="preserve">Fresh Start Panel </w:t>
      </w:r>
      <w:r>
        <w:rPr>
          <w:szCs w:val="18"/>
        </w:rPr>
        <w:t>r</w:t>
      </w:r>
      <w:r w:rsidRPr="00A73C98">
        <w:rPr>
          <w:szCs w:val="18"/>
        </w:rPr>
        <w:t>eport on the Disbandment of Paramilitary Groups in Northern Ireland</w:t>
      </w:r>
      <w:r>
        <w:rPr>
          <w:szCs w:val="18"/>
        </w:rPr>
        <w:t>,</w:t>
      </w:r>
      <w:r w:rsidRPr="00A73C98">
        <w:rPr>
          <w:szCs w:val="18"/>
        </w:rPr>
        <w:t xml:space="preserve"> May 2016.</w:t>
      </w:r>
    </w:p>
  </w:footnote>
  <w:footnote w:id="27">
    <w:p w:rsidR="00B02421" w:rsidRPr="00356AA1" w:rsidRDefault="00B02421" w:rsidP="00356AA1">
      <w:pPr>
        <w:pStyle w:val="FootnoteText"/>
        <w:spacing w:line="240" w:lineRule="atLeast"/>
        <w:ind w:left="1138" w:right="1138" w:hanging="1138"/>
        <w:jc w:val="both"/>
        <w:rPr>
          <w:rFonts w:ascii="Verdana" w:hAnsi="Verdana"/>
          <w:szCs w:val="18"/>
        </w:rPr>
      </w:pPr>
      <w:r w:rsidRPr="00A73C98">
        <w:rPr>
          <w:szCs w:val="18"/>
        </w:rPr>
        <w:tab/>
      </w:r>
      <w:r w:rsidRPr="00A73C98">
        <w:rPr>
          <w:rStyle w:val="FootnoteReference"/>
          <w:szCs w:val="18"/>
        </w:rPr>
        <w:footnoteRef/>
      </w:r>
      <w:r w:rsidRPr="00A73C98">
        <w:rPr>
          <w:szCs w:val="18"/>
        </w:rPr>
        <w:tab/>
      </w:r>
      <w:r>
        <w:rPr>
          <w:szCs w:val="18"/>
        </w:rPr>
        <w:t>Chris Patten, “</w:t>
      </w:r>
      <w:r w:rsidRPr="00A73C98">
        <w:rPr>
          <w:szCs w:val="18"/>
        </w:rPr>
        <w:t>A New Beginning: Policing in Northern Ireland</w:t>
      </w:r>
      <w:r>
        <w:rPr>
          <w:szCs w:val="18"/>
        </w:rPr>
        <w:t>”, report of the Independent Commission on Policing for Northern Ireland, September 1999</w:t>
      </w:r>
      <w:r w:rsidRPr="00A73C98">
        <w:rPr>
          <w:szCs w:val="18"/>
        </w:rPr>
        <w:t>.</w:t>
      </w:r>
    </w:p>
  </w:footnote>
  <w:footnote w:id="28">
    <w:p w:rsidR="00B02421" w:rsidRPr="00A73C98" w:rsidRDefault="00B02421" w:rsidP="00356AA1">
      <w:pPr>
        <w:pStyle w:val="FootnoteText"/>
        <w:tabs>
          <w:tab w:val="clear" w:pos="1021"/>
          <w:tab w:val="right" w:pos="1020"/>
        </w:tabs>
        <w:spacing w:line="240" w:lineRule="atLeast"/>
        <w:ind w:left="1138" w:right="1138" w:hanging="1138"/>
        <w:jc w:val="both"/>
        <w:rPr>
          <w:szCs w:val="18"/>
        </w:rPr>
      </w:pPr>
      <w:r w:rsidRPr="00A73C98">
        <w:rPr>
          <w:szCs w:val="18"/>
        </w:rPr>
        <w:tab/>
      </w:r>
      <w:r w:rsidRPr="00A73C98">
        <w:rPr>
          <w:rStyle w:val="FootnoteReference"/>
          <w:szCs w:val="18"/>
        </w:rPr>
        <w:footnoteRef/>
      </w:r>
      <w:r w:rsidRPr="00A73C98">
        <w:rPr>
          <w:szCs w:val="18"/>
        </w:rPr>
        <w:tab/>
        <w:t xml:space="preserve">See </w:t>
      </w:r>
      <w:r>
        <w:rPr>
          <w:szCs w:val="18"/>
        </w:rPr>
        <w:t>for example</w:t>
      </w:r>
      <w:r w:rsidRPr="00A73C98">
        <w:rPr>
          <w:szCs w:val="18"/>
        </w:rPr>
        <w:t xml:space="preserve"> Democratic Progress Institute, </w:t>
      </w:r>
      <w:r w:rsidRPr="00356AA1">
        <w:rPr>
          <w:i/>
          <w:szCs w:val="18"/>
        </w:rPr>
        <w:t>The Good Friday Agreement: An Overview</w:t>
      </w:r>
      <w:r>
        <w:rPr>
          <w:szCs w:val="18"/>
        </w:rPr>
        <w:t>,</w:t>
      </w:r>
      <w:r w:rsidRPr="00A73C98">
        <w:rPr>
          <w:szCs w:val="18"/>
        </w:rPr>
        <w:t xml:space="preserve"> p</w:t>
      </w:r>
      <w:r>
        <w:rPr>
          <w:szCs w:val="18"/>
        </w:rPr>
        <w:t>p</w:t>
      </w:r>
      <w:r w:rsidRPr="00A73C98">
        <w:rPr>
          <w:szCs w:val="18"/>
        </w:rPr>
        <w:t xml:space="preserve">. 41-42. </w:t>
      </w:r>
    </w:p>
  </w:footnote>
  <w:footnote w:id="29">
    <w:p w:rsidR="00B02421" w:rsidRPr="00A73C98" w:rsidRDefault="00B02421" w:rsidP="00356AA1">
      <w:pPr>
        <w:pStyle w:val="FootnoteText"/>
        <w:spacing w:line="240" w:lineRule="atLeast"/>
        <w:ind w:left="1138" w:right="1138" w:hanging="1138"/>
        <w:jc w:val="both"/>
        <w:rPr>
          <w:szCs w:val="18"/>
        </w:rPr>
      </w:pPr>
      <w:r w:rsidRPr="00A73C98">
        <w:rPr>
          <w:szCs w:val="18"/>
        </w:rPr>
        <w:tab/>
      </w:r>
      <w:r w:rsidRPr="00A73C98">
        <w:rPr>
          <w:rStyle w:val="FootnoteReference"/>
          <w:szCs w:val="18"/>
        </w:rPr>
        <w:footnoteRef/>
      </w:r>
      <w:r w:rsidRPr="00A73C98">
        <w:rPr>
          <w:szCs w:val="18"/>
        </w:rPr>
        <w:tab/>
      </w:r>
      <w:r>
        <w:rPr>
          <w:szCs w:val="18"/>
        </w:rPr>
        <w:t xml:space="preserve">See </w:t>
      </w:r>
      <w:r w:rsidRPr="00A73C98">
        <w:rPr>
          <w:szCs w:val="18"/>
        </w:rPr>
        <w:t xml:space="preserve">Fresh Start Panel </w:t>
      </w:r>
      <w:r>
        <w:rPr>
          <w:szCs w:val="18"/>
        </w:rPr>
        <w:t>r</w:t>
      </w:r>
      <w:r w:rsidRPr="00A73C98">
        <w:rPr>
          <w:szCs w:val="18"/>
        </w:rPr>
        <w:t>eport</w:t>
      </w:r>
      <w:r>
        <w:rPr>
          <w:szCs w:val="18"/>
        </w:rPr>
        <w:t xml:space="preserve"> (see footnote 24)</w:t>
      </w:r>
      <w:r w:rsidRPr="00A73C98">
        <w:rPr>
          <w:szCs w:val="18"/>
        </w:rPr>
        <w:t xml:space="preserve">, </w:t>
      </w:r>
      <w:r>
        <w:rPr>
          <w:szCs w:val="18"/>
        </w:rPr>
        <w:t>in particular sect</w:t>
      </w:r>
      <w:r w:rsidRPr="00A73C98">
        <w:rPr>
          <w:szCs w:val="18"/>
        </w:rPr>
        <w:t xml:space="preserve">. 3 and paras. 4.24-4.28. </w:t>
      </w:r>
    </w:p>
  </w:footnote>
  <w:footnote w:id="30">
    <w:p w:rsidR="00B02421" w:rsidRPr="00A73C98" w:rsidRDefault="00B02421" w:rsidP="00356AA1">
      <w:pPr>
        <w:pStyle w:val="FootnoteText"/>
        <w:tabs>
          <w:tab w:val="clear" w:pos="1021"/>
          <w:tab w:val="right" w:pos="1020"/>
        </w:tabs>
        <w:spacing w:line="240" w:lineRule="atLeast"/>
        <w:ind w:left="1138" w:right="1138" w:hanging="1138"/>
        <w:jc w:val="both"/>
        <w:rPr>
          <w:szCs w:val="18"/>
        </w:rPr>
      </w:pPr>
      <w:r w:rsidRPr="00A73C98">
        <w:rPr>
          <w:szCs w:val="18"/>
        </w:rPr>
        <w:tab/>
      </w:r>
      <w:r w:rsidRPr="00A73C98">
        <w:rPr>
          <w:rStyle w:val="FootnoteReference"/>
          <w:szCs w:val="18"/>
        </w:rPr>
        <w:footnoteRef/>
      </w:r>
      <w:r w:rsidRPr="00A73C98">
        <w:rPr>
          <w:szCs w:val="18"/>
        </w:rPr>
        <w:tab/>
      </w:r>
      <w:r w:rsidRPr="00A73C98">
        <w:rPr>
          <w:rStyle w:val="FootnoteTextChar"/>
          <w:szCs w:val="18"/>
        </w:rPr>
        <w:t>See also B</w:t>
      </w:r>
      <w:r>
        <w:rPr>
          <w:rStyle w:val="FootnoteTextChar"/>
          <w:szCs w:val="18"/>
        </w:rPr>
        <w:t>randon</w:t>
      </w:r>
      <w:r w:rsidRPr="00A73C98">
        <w:rPr>
          <w:rStyle w:val="FootnoteTextChar"/>
          <w:szCs w:val="18"/>
        </w:rPr>
        <w:t xml:space="preserve"> </w:t>
      </w:r>
      <w:proofErr w:type="spellStart"/>
      <w:r w:rsidRPr="00A73C98">
        <w:rPr>
          <w:rStyle w:val="FootnoteTextChar"/>
          <w:szCs w:val="18"/>
        </w:rPr>
        <w:t>Hamber</w:t>
      </w:r>
      <w:proofErr w:type="spellEnd"/>
      <w:r>
        <w:rPr>
          <w:rStyle w:val="FootnoteTextChar"/>
          <w:szCs w:val="18"/>
        </w:rPr>
        <w:t>, Liz</w:t>
      </w:r>
      <w:r w:rsidRPr="00A73C98">
        <w:rPr>
          <w:rStyle w:val="FootnoteTextChar"/>
          <w:szCs w:val="18"/>
        </w:rPr>
        <w:t xml:space="preserve"> </w:t>
      </w:r>
      <w:proofErr w:type="spellStart"/>
      <w:r>
        <w:rPr>
          <w:rStyle w:val="FootnoteTextChar"/>
          <w:szCs w:val="18"/>
        </w:rPr>
        <w:t>Ševčencko</w:t>
      </w:r>
      <w:proofErr w:type="spellEnd"/>
      <w:r>
        <w:rPr>
          <w:rStyle w:val="FootnoteTextChar"/>
          <w:szCs w:val="18"/>
        </w:rPr>
        <w:t xml:space="preserve"> and </w:t>
      </w:r>
      <w:proofErr w:type="spellStart"/>
      <w:r>
        <w:rPr>
          <w:rStyle w:val="FootnoteTextChar"/>
          <w:szCs w:val="18"/>
        </w:rPr>
        <w:t>Ereshnee</w:t>
      </w:r>
      <w:proofErr w:type="spellEnd"/>
      <w:r>
        <w:rPr>
          <w:rStyle w:val="FootnoteTextChar"/>
          <w:szCs w:val="18"/>
        </w:rPr>
        <w:t xml:space="preserve"> Naidu</w:t>
      </w:r>
      <w:r w:rsidRPr="00A73C98">
        <w:rPr>
          <w:rStyle w:val="FootnoteTextChar"/>
          <w:szCs w:val="18"/>
        </w:rPr>
        <w:t>, “</w:t>
      </w:r>
      <w:r>
        <w:rPr>
          <w:rStyle w:val="FootnoteTextChar"/>
          <w:szCs w:val="18"/>
        </w:rPr>
        <w:t xml:space="preserve">Utopian Dreams or Practical Possibilities? </w:t>
      </w:r>
      <w:proofErr w:type="gramStart"/>
      <w:r>
        <w:rPr>
          <w:rStyle w:val="FootnoteTextChar"/>
          <w:szCs w:val="18"/>
        </w:rPr>
        <w:t>The Challenges of e</w:t>
      </w:r>
      <w:r w:rsidRPr="00A73C98">
        <w:rPr>
          <w:rStyle w:val="FootnoteTextChar"/>
          <w:szCs w:val="18"/>
        </w:rPr>
        <w:t>valuating the Impact of Memorialization in Societies in Transition”</w:t>
      </w:r>
      <w:r>
        <w:rPr>
          <w:rStyle w:val="FootnoteTextChar"/>
          <w:szCs w:val="18"/>
        </w:rPr>
        <w:t>,</w:t>
      </w:r>
      <w:r w:rsidRPr="00A73C98">
        <w:rPr>
          <w:rStyle w:val="FootnoteTextChar"/>
          <w:szCs w:val="18"/>
        </w:rPr>
        <w:t xml:space="preserve"> </w:t>
      </w:r>
      <w:r w:rsidRPr="00A73C98">
        <w:rPr>
          <w:rStyle w:val="FootnoteTextChar"/>
          <w:i/>
          <w:szCs w:val="18"/>
        </w:rPr>
        <w:t>International Journal of Transitional Justice</w:t>
      </w:r>
      <w:r>
        <w:rPr>
          <w:rStyle w:val="FootnoteTextChar"/>
          <w:szCs w:val="18"/>
        </w:rPr>
        <w:t>, vol. 4,</w:t>
      </w:r>
      <w:r w:rsidRPr="00A73C98">
        <w:rPr>
          <w:rStyle w:val="FootnoteTextChar"/>
          <w:szCs w:val="18"/>
        </w:rPr>
        <w:t xml:space="preserve"> 2010, </w:t>
      </w:r>
      <w:r>
        <w:rPr>
          <w:rStyle w:val="FootnoteTextChar"/>
          <w:szCs w:val="18"/>
        </w:rPr>
        <w:t xml:space="preserve">pp. </w:t>
      </w:r>
      <w:r w:rsidRPr="00A73C98">
        <w:rPr>
          <w:rStyle w:val="FootnoteTextChar"/>
          <w:szCs w:val="18"/>
        </w:rPr>
        <w:t>397-420.</w:t>
      </w:r>
      <w:proofErr w:type="gramEnd"/>
      <w:r w:rsidRPr="00A73C98">
        <w:rPr>
          <w:szCs w:val="18"/>
        </w:rPr>
        <w:t xml:space="preserve"> </w:t>
      </w:r>
    </w:p>
  </w:footnote>
  <w:footnote w:id="31">
    <w:p w:rsidR="00B02421" w:rsidRPr="00A73C98" w:rsidRDefault="00B02421" w:rsidP="00356AA1">
      <w:pPr>
        <w:pStyle w:val="FootnoteText"/>
        <w:spacing w:line="240" w:lineRule="atLeast"/>
        <w:ind w:left="1138" w:right="1138" w:hanging="1138"/>
        <w:jc w:val="both"/>
        <w:rPr>
          <w:szCs w:val="18"/>
        </w:rPr>
      </w:pPr>
      <w:r w:rsidRPr="00A73C98">
        <w:rPr>
          <w:szCs w:val="18"/>
        </w:rPr>
        <w:tab/>
      </w:r>
      <w:r w:rsidRPr="00A73C98">
        <w:rPr>
          <w:rStyle w:val="FootnoteReference"/>
          <w:szCs w:val="18"/>
        </w:rPr>
        <w:footnoteRef/>
      </w:r>
      <w:r w:rsidRPr="00A73C98">
        <w:rPr>
          <w:szCs w:val="18"/>
        </w:rPr>
        <w:tab/>
      </w:r>
      <w:r>
        <w:rPr>
          <w:szCs w:val="18"/>
        </w:rPr>
        <w:t xml:space="preserve">The Executive Office, </w:t>
      </w:r>
      <w:r w:rsidRPr="00DA73A6">
        <w:rPr>
          <w:i/>
          <w:sz w:val="20"/>
        </w:rPr>
        <w:t>Together: Building a United Community</w:t>
      </w:r>
      <w:r w:rsidRPr="00A73C98">
        <w:rPr>
          <w:szCs w:val="18"/>
        </w:rPr>
        <w:t xml:space="preserve">, </w:t>
      </w:r>
      <w:r>
        <w:rPr>
          <w:szCs w:val="18"/>
        </w:rPr>
        <w:t xml:space="preserve">May 2013, </w:t>
      </w:r>
      <w:r w:rsidRPr="00A73C98">
        <w:rPr>
          <w:szCs w:val="18"/>
        </w:rPr>
        <w:t>p. 22.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21" w:rsidRPr="00342EC7" w:rsidRDefault="00B02421">
    <w:pPr>
      <w:pStyle w:val="Header"/>
    </w:pPr>
    <w:r>
      <w:t>A/HRC/34/62/Add.1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421" w:rsidRPr="00342EC7" w:rsidRDefault="00B02421" w:rsidP="00342EC7">
    <w:pPr>
      <w:pStyle w:val="Header"/>
      <w:jc w:val="right"/>
    </w:pPr>
    <w:r>
      <w:t>A/HRC/34/62/Add.1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416123"/>
    <w:multiLevelType w:val="hybridMultilevel"/>
    <w:tmpl w:val="9368A1C0"/>
    <w:lvl w:ilvl="0" w:tplc="0809000F">
      <w:start w:val="1"/>
      <w:numFmt w:val="decimal"/>
      <w:lvlText w:val="%1."/>
      <w:lvlJc w:val="left"/>
      <w:pPr>
        <w:ind w:left="2569" w:hanging="360"/>
      </w:pPr>
    </w:lvl>
    <w:lvl w:ilvl="1" w:tplc="08090019" w:tentative="1">
      <w:start w:val="1"/>
      <w:numFmt w:val="lowerLetter"/>
      <w:lvlText w:val="%2."/>
      <w:lvlJc w:val="left"/>
      <w:pPr>
        <w:ind w:left="3289" w:hanging="360"/>
      </w:pPr>
    </w:lvl>
    <w:lvl w:ilvl="2" w:tplc="0809001B" w:tentative="1">
      <w:start w:val="1"/>
      <w:numFmt w:val="lowerRoman"/>
      <w:lvlText w:val="%3."/>
      <w:lvlJc w:val="right"/>
      <w:pPr>
        <w:ind w:left="4009" w:hanging="180"/>
      </w:pPr>
    </w:lvl>
    <w:lvl w:ilvl="3" w:tplc="0809000F" w:tentative="1">
      <w:start w:val="1"/>
      <w:numFmt w:val="decimal"/>
      <w:lvlText w:val="%4."/>
      <w:lvlJc w:val="left"/>
      <w:pPr>
        <w:ind w:left="4729" w:hanging="360"/>
      </w:pPr>
    </w:lvl>
    <w:lvl w:ilvl="4" w:tplc="08090019" w:tentative="1">
      <w:start w:val="1"/>
      <w:numFmt w:val="lowerLetter"/>
      <w:lvlText w:val="%5."/>
      <w:lvlJc w:val="left"/>
      <w:pPr>
        <w:ind w:left="5449" w:hanging="360"/>
      </w:pPr>
    </w:lvl>
    <w:lvl w:ilvl="5" w:tplc="0809001B" w:tentative="1">
      <w:start w:val="1"/>
      <w:numFmt w:val="lowerRoman"/>
      <w:lvlText w:val="%6."/>
      <w:lvlJc w:val="right"/>
      <w:pPr>
        <w:ind w:left="6169" w:hanging="180"/>
      </w:pPr>
    </w:lvl>
    <w:lvl w:ilvl="6" w:tplc="0809000F" w:tentative="1">
      <w:start w:val="1"/>
      <w:numFmt w:val="decimal"/>
      <w:lvlText w:val="%7."/>
      <w:lvlJc w:val="left"/>
      <w:pPr>
        <w:ind w:left="6889" w:hanging="360"/>
      </w:pPr>
    </w:lvl>
    <w:lvl w:ilvl="7" w:tplc="08090019" w:tentative="1">
      <w:start w:val="1"/>
      <w:numFmt w:val="lowerLetter"/>
      <w:lvlText w:val="%8."/>
      <w:lvlJc w:val="left"/>
      <w:pPr>
        <w:ind w:left="7609" w:hanging="360"/>
      </w:pPr>
    </w:lvl>
    <w:lvl w:ilvl="8" w:tplc="0809001B" w:tentative="1">
      <w:start w:val="1"/>
      <w:numFmt w:val="lowerRoman"/>
      <w:lvlText w:val="%9."/>
      <w:lvlJc w:val="right"/>
      <w:pPr>
        <w:ind w:left="8329" w:hanging="180"/>
      </w:pPr>
    </w:lvl>
  </w:abstractNum>
  <w:abstractNum w:abstractNumId="6">
    <w:nsid w:val="4657344B"/>
    <w:multiLevelType w:val="hybridMultilevel"/>
    <w:tmpl w:val="DD78C3CC"/>
    <w:lvl w:ilvl="0" w:tplc="A5982536">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7">
    <w:nsid w:val="47456CB0"/>
    <w:multiLevelType w:val="hybridMultilevel"/>
    <w:tmpl w:val="EB444258"/>
    <w:lvl w:ilvl="0" w:tplc="0809000F">
      <w:start w:val="1"/>
      <w:numFmt w:val="decimal"/>
      <w:lvlText w:val="%1."/>
      <w:lvlJc w:val="left"/>
      <w:pPr>
        <w:ind w:left="1849" w:hanging="360"/>
      </w:pPr>
    </w:lvl>
    <w:lvl w:ilvl="1" w:tplc="08090019" w:tentative="1">
      <w:start w:val="1"/>
      <w:numFmt w:val="lowerLetter"/>
      <w:lvlText w:val="%2."/>
      <w:lvlJc w:val="left"/>
      <w:pPr>
        <w:ind w:left="2569" w:hanging="360"/>
      </w:pPr>
    </w:lvl>
    <w:lvl w:ilvl="2" w:tplc="0809001B" w:tentative="1">
      <w:start w:val="1"/>
      <w:numFmt w:val="lowerRoman"/>
      <w:lvlText w:val="%3."/>
      <w:lvlJc w:val="right"/>
      <w:pPr>
        <w:ind w:left="3289" w:hanging="180"/>
      </w:pPr>
    </w:lvl>
    <w:lvl w:ilvl="3" w:tplc="0809000F" w:tentative="1">
      <w:start w:val="1"/>
      <w:numFmt w:val="decimal"/>
      <w:lvlText w:val="%4."/>
      <w:lvlJc w:val="left"/>
      <w:pPr>
        <w:ind w:left="4009" w:hanging="360"/>
      </w:pPr>
    </w:lvl>
    <w:lvl w:ilvl="4" w:tplc="08090019" w:tentative="1">
      <w:start w:val="1"/>
      <w:numFmt w:val="lowerLetter"/>
      <w:lvlText w:val="%5."/>
      <w:lvlJc w:val="left"/>
      <w:pPr>
        <w:ind w:left="4729" w:hanging="360"/>
      </w:pPr>
    </w:lvl>
    <w:lvl w:ilvl="5" w:tplc="0809001B" w:tentative="1">
      <w:start w:val="1"/>
      <w:numFmt w:val="lowerRoman"/>
      <w:lvlText w:val="%6."/>
      <w:lvlJc w:val="right"/>
      <w:pPr>
        <w:ind w:left="5449" w:hanging="180"/>
      </w:pPr>
    </w:lvl>
    <w:lvl w:ilvl="6" w:tplc="0809000F" w:tentative="1">
      <w:start w:val="1"/>
      <w:numFmt w:val="decimal"/>
      <w:lvlText w:val="%7."/>
      <w:lvlJc w:val="left"/>
      <w:pPr>
        <w:ind w:left="6169" w:hanging="360"/>
      </w:pPr>
    </w:lvl>
    <w:lvl w:ilvl="7" w:tplc="08090019" w:tentative="1">
      <w:start w:val="1"/>
      <w:numFmt w:val="lowerLetter"/>
      <w:lvlText w:val="%8."/>
      <w:lvlJc w:val="left"/>
      <w:pPr>
        <w:ind w:left="6889" w:hanging="360"/>
      </w:pPr>
    </w:lvl>
    <w:lvl w:ilvl="8" w:tplc="0809001B" w:tentative="1">
      <w:start w:val="1"/>
      <w:numFmt w:val="lowerRoman"/>
      <w:lvlText w:val="%9."/>
      <w:lvlJc w:val="right"/>
      <w:pPr>
        <w:ind w:left="7609" w:hanging="180"/>
      </w:pPr>
    </w:lvl>
  </w:abstractNum>
  <w:abstractNum w:abstractNumId="8">
    <w:nsid w:val="575D65CB"/>
    <w:multiLevelType w:val="hybridMultilevel"/>
    <w:tmpl w:val="958CA04A"/>
    <w:lvl w:ilvl="0" w:tplc="447EF12A">
      <w:start w:val="1"/>
      <w:numFmt w:val="upperLetter"/>
      <w:lvlText w:val="%1."/>
      <w:lvlJc w:val="left"/>
      <w:pPr>
        <w:ind w:left="1560" w:hanging="4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9">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4"/>
  </w:num>
  <w:num w:numId="2">
    <w:abstractNumId w:val="3"/>
  </w:num>
  <w:num w:numId="3">
    <w:abstractNumId w:val="10"/>
  </w:num>
  <w:num w:numId="4">
    <w:abstractNumId w:val="2"/>
  </w:num>
  <w:num w:numId="5">
    <w:abstractNumId w:val="0"/>
  </w:num>
  <w:num w:numId="6">
    <w:abstractNumId w:val="1"/>
  </w:num>
  <w:num w:numId="7">
    <w:abstractNumId w:val="9"/>
  </w:num>
  <w:num w:numId="8">
    <w:abstractNumId w:val="7"/>
  </w:num>
  <w:num w:numId="9">
    <w:abstractNumId w:val="5"/>
  </w:num>
  <w:num w:numId="10">
    <w:abstractNumId w:val="8"/>
  </w:num>
  <w:num w:numId="1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7" w:nlCheck="1" w:checkStyle="1"/>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EC7"/>
    <w:rsid w:val="00007756"/>
    <w:rsid w:val="00007F7F"/>
    <w:rsid w:val="00022DB5"/>
    <w:rsid w:val="000403D1"/>
    <w:rsid w:val="000449AA"/>
    <w:rsid w:val="00050F6B"/>
    <w:rsid w:val="0005512F"/>
    <w:rsid w:val="00055856"/>
    <w:rsid w:val="00071869"/>
    <w:rsid w:val="000719F9"/>
    <w:rsid w:val="00072C8C"/>
    <w:rsid w:val="00073E70"/>
    <w:rsid w:val="00084771"/>
    <w:rsid w:val="000876EB"/>
    <w:rsid w:val="00091419"/>
    <w:rsid w:val="000931C0"/>
    <w:rsid w:val="00096E0F"/>
    <w:rsid w:val="000A3C4C"/>
    <w:rsid w:val="000B175B"/>
    <w:rsid w:val="000B3A0F"/>
    <w:rsid w:val="000B4A3B"/>
    <w:rsid w:val="000C1260"/>
    <w:rsid w:val="000C4171"/>
    <w:rsid w:val="000D1851"/>
    <w:rsid w:val="000D7DB5"/>
    <w:rsid w:val="000E0415"/>
    <w:rsid w:val="000E496A"/>
    <w:rsid w:val="000F7FEB"/>
    <w:rsid w:val="00104EDA"/>
    <w:rsid w:val="001223AF"/>
    <w:rsid w:val="001256FE"/>
    <w:rsid w:val="00127441"/>
    <w:rsid w:val="00131A2D"/>
    <w:rsid w:val="00143512"/>
    <w:rsid w:val="00146D32"/>
    <w:rsid w:val="001509BA"/>
    <w:rsid w:val="0015458F"/>
    <w:rsid w:val="001613F8"/>
    <w:rsid w:val="00163CA4"/>
    <w:rsid w:val="00166192"/>
    <w:rsid w:val="00185107"/>
    <w:rsid w:val="001964B6"/>
    <w:rsid w:val="001A41D1"/>
    <w:rsid w:val="001B20BA"/>
    <w:rsid w:val="001B3AA1"/>
    <w:rsid w:val="001B4B04"/>
    <w:rsid w:val="001C6663"/>
    <w:rsid w:val="001C7895"/>
    <w:rsid w:val="001D26DF"/>
    <w:rsid w:val="001D52C2"/>
    <w:rsid w:val="001D6F21"/>
    <w:rsid w:val="001E087F"/>
    <w:rsid w:val="001E1031"/>
    <w:rsid w:val="001E2790"/>
    <w:rsid w:val="001E4ECD"/>
    <w:rsid w:val="00211E0B"/>
    <w:rsid w:val="00211E72"/>
    <w:rsid w:val="00214047"/>
    <w:rsid w:val="0022130F"/>
    <w:rsid w:val="00223205"/>
    <w:rsid w:val="002256ED"/>
    <w:rsid w:val="00230A28"/>
    <w:rsid w:val="0023199B"/>
    <w:rsid w:val="00231A78"/>
    <w:rsid w:val="002330C1"/>
    <w:rsid w:val="00237785"/>
    <w:rsid w:val="002410DD"/>
    <w:rsid w:val="0024119D"/>
    <w:rsid w:val="00241466"/>
    <w:rsid w:val="002453DC"/>
    <w:rsid w:val="002466A1"/>
    <w:rsid w:val="00246933"/>
    <w:rsid w:val="0024777B"/>
    <w:rsid w:val="0025217A"/>
    <w:rsid w:val="00253D58"/>
    <w:rsid w:val="002555B9"/>
    <w:rsid w:val="0027725F"/>
    <w:rsid w:val="00277A1F"/>
    <w:rsid w:val="002843F6"/>
    <w:rsid w:val="002864C4"/>
    <w:rsid w:val="0029713D"/>
    <w:rsid w:val="002A66AC"/>
    <w:rsid w:val="002C0773"/>
    <w:rsid w:val="002C21F0"/>
    <w:rsid w:val="002C375E"/>
    <w:rsid w:val="002D4FAA"/>
    <w:rsid w:val="002E6C7A"/>
    <w:rsid w:val="002E789D"/>
    <w:rsid w:val="003107FA"/>
    <w:rsid w:val="00313415"/>
    <w:rsid w:val="00315E51"/>
    <w:rsid w:val="00317977"/>
    <w:rsid w:val="003229D8"/>
    <w:rsid w:val="003314D1"/>
    <w:rsid w:val="00332352"/>
    <w:rsid w:val="00335922"/>
    <w:rsid w:val="00335A2F"/>
    <w:rsid w:val="00340AD4"/>
    <w:rsid w:val="00341782"/>
    <w:rsid w:val="00341937"/>
    <w:rsid w:val="00342EC7"/>
    <w:rsid w:val="00352CEC"/>
    <w:rsid w:val="00356AA1"/>
    <w:rsid w:val="00363454"/>
    <w:rsid w:val="003659F1"/>
    <w:rsid w:val="00365D15"/>
    <w:rsid w:val="00383591"/>
    <w:rsid w:val="003847CF"/>
    <w:rsid w:val="003915D0"/>
    <w:rsid w:val="0039277A"/>
    <w:rsid w:val="003972E0"/>
    <w:rsid w:val="003975ED"/>
    <w:rsid w:val="003A6079"/>
    <w:rsid w:val="003B6C62"/>
    <w:rsid w:val="003C0FB7"/>
    <w:rsid w:val="003C28D0"/>
    <w:rsid w:val="003C2CC4"/>
    <w:rsid w:val="003C498E"/>
    <w:rsid w:val="003D1E7C"/>
    <w:rsid w:val="003D4B23"/>
    <w:rsid w:val="003E1569"/>
    <w:rsid w:val="003F144E"/>
    <w:rsid w:val="003F68AC"/>
    <w:rsid w:val="00403AE5"/>
    <w:rsid w:val="00422EA4"/>
    <w:rsid w:val="0042434E"/>
    <w:rsid w:val="00424C70"/>
    <w:rsid w:val="00424C80"/>
    <w:rsid w:val="004325CB"/>
    <w:rsid w:val="00432A5E"/>
    <w:rsid w:val="00434F5D"/>
    <w:rsid w:val="00440EBB"/>
    <w:rsid w:val="00442790"/>
    <w:rsid w:val="00443748"/>
    <w:rsid w:val="00444E6C"/>
    <w:rsid w:val="0044503A"/>
    <w:rsid w:val="00446DE4"/>
    <w:rsid w:val="00447761"/>
    <w:rsid w:val="00451EC3"/>
    <w:rsid w:val="0045220D"/>
    <w:rsid w:val="00461870"/>
    <w:rsid w:val="00463CC4"/>
    <w:rsid w:val="004721B1"/>
    <w:rsid w:val="004859EC"/>
    <w:rsid w:val="00496A15"/>
    <w:rsid w:val="004B696D"/>
    <w:rsid w:val="004B75D2"/>
    <w:rsid w:val="004C122B"/>
    <w:rsid w:val="004C28A0"/>
    <w:rsid w:val="004C3CBB"/>
    <w:rsid w:val="004C5812"/>
    <w:rsid w:val="004D1140"/>
    <w:rsid w:val="004F55ED"/>
    <w:rsid w:val="004F7AF1"/>
    <w:rsid w:val="00521657"/>
    <w:rsid w:val="0052176C"/>
    <w:rsid w:val="005261E5"/>
    <w:rsid w:val="005420F2"/>
    <w:rsid w:val="00542574"/>
    <w:rsid w:val="005436AB"/>
    <w:rsid w:val="00546896"/>
    <w:rsid w:val="00546DBF"/>
    <w:rsid w:val="00553D76"/>
    <w:rsid w:val="005552B5"/>
    <w:rsid w:val="0056090D"/>
    <w:rsid w:val="0056117B"/>
    <w:rsid w:val="00561EDC"/>
    <w:rsid w:val="00571365"/>
    <w:rsid w:val="00571744"/>
    <w:rsid w:val="00577442"/>
    <w:rsid w:val="005879A7"/>
    <w:rsid w:val="0059306A"/>
    <w:rsid w:val="00593F2B"/>
    <w:rsid w:val="00595BCB"/>
    <w:rsid w:val="005B37A8"/>
    <w:rsid w:val="005B3DB3"/>
    <w:rsid w:val="005B6E48"/>
    <w:rsid w:val="005C4045"/>
    <w:rsid w:val="005C70A1"/>
    <w:rsid w:val="005C74CA"/>
    <w:rsid w:val="005D5E98"/>
    <w:rsid w:val="005E1712"/>
    <w:rsid w:val="005E61D6"/>
    <w:rsid w:val="0060657A"/>
    <w:rsid w:val="00611FC4"/>
    <w:rsid w:val="006176FB"/>
    <w:rsid w:val="006178F3"/>
    <w:rsid w:val="0062220A"/>
    <w:rsid w:val="00627BD7"/>
    <w:rsid w:val="006343AE"/>
    <w:rsid w:val="00640B26"/>
    <w:rsid w:val="006448F2"/>
    <w:rsid w:val="00654DC1"/>
    <w:rsid w:val="00665B9F"/>
    <w:rsid w:val="00670741"/>
    <w:rsid w:val="00671DB6"/>
    <w:rsid w:val="00692073"/>
    <w:rsid w:val="006932CE"/>
    <w:rsid w:val="00696BD6"/>
    <w:rsid w:val="006A6B9D"/>
    <w:rsid w:val="006A7392"/>
    <w:rsid w:val="006B0C04"/>
    <w:rsid w:val="006B3189"/>
    <w:rsid w:val="006B54C4"/>
    <w:rsid w:val="006B7D65"/>
    <w:rsid w:val="006D20DC"/>
    <w:rsid w:val="006D4ABB"/>
    <w:rsid w:val="006D642A"/>
    <w:rsid w:val="006D6DA6"/>
    <w:rsid w:val="006E0AF4"/>
    <w:rsid w:val="006E564B"/>
    <w:rsid w:val="006F031C"/>
    <w:rsid w:val="006F13F0"/>
    <w:rsid w:val="006F5035"/>
    <w:rsid w:val="00704E6B"/>
    <w:rsid w:val="007063B4"/>
    <w:rsid w:val="007065EB"/>
    <w:rsid w:val="00716894"/>
    <w:rsid w:val="00720183"/>
    <w:rsid w:val="00724239"/>
    <w:rsid w:val="0072632A"/>
    <w:rsid w:val="00731307"/>
    <w:rsid w:val="00731C53"/>
    <w:rsid w:val="0074200B"/>
    <w:rsid w:val="00755302"/>
    <w:rsid w:val="00764177"/>
    <w:rsid w:val="00774C5F"/>
    <w:rsid w:val="00781044"/>
    <w:rsid w:val="007950F8"/>
    <w:rsid w:val="007A6296"/>
    <w:rsid w:val="007A62F3"/>
    <w:rsid w:val="007B6BA5"/>
    <w:rsid w:val="007C1927"/>
    <w:rsid w:val="007C1B62"/>
    <w:rsid w:val="007C3390"/>
    <w:rsid w:val="007C4F4B"/>
    <w:rsid w:val="007D2CDC"/>
    <w:rsid w:val="007D5327"/>
    <w:rsid w:val="007D67FA"/>
    <w:rsid w:val="007F6611"/>
    <w:rsid w:val="00800125"/>
    <w:rsid w:val="0080165A"/>
    <w:rsid w:val="0081044F"/>
    <w:rsid w:val="00810990"/>
    <w:rsid w:val="00811556"/>
    <w:rsid w:val="0081168E"/>
    <w:rsid w:val="008155C3"/>
    <w:rsid w:val="008175E9"/>
    <w:rsid w:val="0082243E"/>
    <w:rsid w:val="008242D7"/>
    <w:rsid w:val="00833513"/>
    <w:rsid w:val="00836D61"/>
    <w:rsid w:val="00844327"/>
    <w:rsid w:val="008504E9"/>
    <w:rsid w:val="008516A6"/>
    <w:rsid w:val="00856361"/>
    <w:rsid w:val="00856CD2"/>
    <w:rsid w:val="00861BC6"/>
    <w:rsid w:val="0086377F"/>
    <w:rsid w:val="00871FD5"/>
    <w:rsid w:val="00874D61"/>
    <w:rsid w:val="00877302"/>
    <w:rsid w:val="00896E64"/>
    <w:rsid w:val="008979B1"/>
    <w:rsid w:val="008A5AB1"/>
    <w:rsid w:val="008A6B25"/>
    <w:rsid w:val="008A6C4F"/>
    <w:rsid w:val="008B1A07"/>
    <w:rsid w:val="008C02C7"/>
    <w:rsid w:val="008C0721"/>
    <w:rsid w:val="008C1E4D"/>
    <w:rsid w:val="008E0E46"/>
    <w:rsid w:val="008E2A5F"/>
    <w:rsid w:val="008E33FA"/>
    <w:rsid w:val="008F6E1F"/>
    <w:rsid w:val="0090452C"/>
    <w:rsid w:val="00907C3F"/>
    <w:rsid w:val="0092237C"/>
    <w:rsid w:val="00931A8B"/>
    <w:rsid w:val="0093707B"/>
    <w:rsid w:val="009400EB"/>
    <w:rsid w:val="009427E3"/>
    <w:rsid w:val="00956D9B"/>
    <w:rsid w:val="00963168"/>
    <w:rsid w:val="00963CBA"/>
    <w:rsid w:val="009654B7"/>
    <w:rsid w:val="0097031D"/>
    <w:rsid w:val="0097615D"/>
    <w:rsid w:val="00991261"/>
    <w:rsid w:val="009922A0"/>
    <w:rsid w:val="00992CE8"/>
    <w:rsid w:val="0099518C"/>
    <w:rsid w:val="009971D5"/>
    <w:rsid w:val="009A0B83"/>
    <w:rsid w:val="009B0386"/>
    <w:rsid w:val="009B3800"/>
    <w:rsid w:val="009B62A9"/>
    <w:rsid w:val="009C55F4"/>
    <w:rsid w:val="009D17F1"/>
    <w:rsid w:val="009D22AC"/>
    <w:rsid w:val="009D50DB"/>
    <w:rsid w:val="009E1941"/>
    <w:rsid w:val="009E1C4E"/>
    <w:rsid w:val="009E23CF"/>
    <w:rsid w:val="009E47D5"/>
    <w:rsid w:val="00A03024"/>
    <w:rsid w:val="00A05E0B"/>
    <w:rsid w:val="00A1427D"/>
    <w:rsid w:val="00A16B64"/>
    <w:rsid w:val="00A2060E"/>
    <w:rsid w:val="00A21406"/>
    <w:rsid w:val="00A217A5"/>
    <w:rsid w:val="00A25B3E"/>
    <w:rsid w:val="00A26103"/>
    <w:rsid w:val="00A35C69"/>
    <w:rsid w:val="00A44AD3"/>
    <w:rsid w:val="00A4634F"/>
    <w:rsid w:val="00A51CF3"/>
    <w:rsid w:val="00A53958"/>
    <w:rsid w:val="00A617AC"/>
    <w:rsid w:val="00A72F22"/>
    <w:rsid w:val="00A7314F"/>
    <w:rsid w:val="00A73C98"/>
    <w:rsid w:val="00A748A6"/>
    <w:rsid w:val="00A81B85"/>
    <w:rsid w:val="00A873FE"/>
    <w:rsid w:val="00A879A4"/>
    <w:rsid w:val="00A87E95"/>
    <w:rsid w:val="00A92E29"/>
    <w:rsid w:val="00AA18C3"/>
    <w:rsid w:val="00AA2BA8"/>
    <w:rsid w:val="00AB2334"/>
    <w:rsid w:val="00AB4380"/>
    <w:rsid w:val="00AB6866"/>
    <w:rsid w:val="00AD09E9"/>
    <w:rsid w:val="00AF0576"/>
    <w:rsid w:val="00AF0E0D"/>
    <w:rsid w:val="00AF3829"/>
    <w:rsid w:val="00AF6ADD"/>
    <w:rsid w:val="00B02421"/>
    <w:rsid w:val="00B037F0"/>
    <w:rsid w:val="00B102FB"/>
    <w:rsid w:val="00B2327D"/>
    <w:rsid w:val="00B2507E"/>
    <w:rsid w:val="00B2718F"/>
    <w:rsid w:val="00B30179"/>
    <w:rsid w:val="00B3317B"/>
    <w:rsid w:val="00B334DC"/>
    <w:rsid w:val="00B3631A"/>
    <w:rsid w:val="00B43446"/>
    <w:rsid w:val="00B44BA5"/>
    <w:rsid w:val="00B50322"/>
    <w:rsid w:val="00B53013"/>
    <w:rsid w:val="00B61EA6"/>
    <w:rsid w:val="00B67F5E"/>
    <w:rsid w:val="00B702DD"/>
    <w:rsid w:val="00B72409"/>
    <w:rsid w:val="00B73E65"/>
    <w:rsid w:val="00B81E12"/>
    <w:rsid w:val="00B86975"/>
    <w:rsid w:val="00B87110"/>
    <w:rsid w:val="00B93601"/>
    <w:rsid w:val="00B93811"/>
    <w:rsid w:val="00B96D86"/>
    <w:rsid w:val="00B97FA8"/>
    <w:rsid w:val="00BB0F84"/>
    <w:rsid w:val="00BB1540"/>
    <w:rsid w:val="00BB5BC3"/>
    <w:rsid w:val="00BB74F6"/>
    <w:rsid w:val="00BC1385"/>
    <w:rsid w:val="00BC74E9"/>
    <w:rsid w:val="00BD28EC"/>
    <w:rsid w:val="00BD6BB6"/>
    <w:rsid w:val="00BD6E56"/>
    <w:rsid w:val="00BE1293"/>
    <w:rsid w:val="00BE1DCE"/>
    <w:rsid w:val="00BE1F94"/>
    <w:rsid w:val="00BE618E"/>
    <w:rsid w:val="00BE7BAF"/>
    <w:rsid w:val="00BF3626"/>
    <w:rsid w:val="00BF680E"/>
    <w:rsid w:val="00C020AB"/>
    <w:rsid w:val="00C0376C"/>
    <w:rsid w:val="00C06C09"/>
    <w:rsid w:val="00C16979"/>
    <w:rsid w:val="00C203C8"/>
    <w:rsid w:val="00C24693"/>
    <w:rsid w:val="00C34C45"/>
    <w:rsid w:val="00C35F0B"/>
    <w:rsid w:val="00C463DD"/>
    <w:rsid w:val="00C64458"/>
    <w:rsid w:val="00C745C3"/>
    <w:rsid w:val="00C76CA8"/>
    <w:rsid w:val="00C92124"/>
    <w:rsid w:val="00C9256A"/>
    <w:rsid w:val="00C92D08"/>
    <w:rsid w:val="00CA2A58"/>
    <w:rsid w:val="00CB1673"/>
    <w:rsid w:val="00CC0B55"/>
    <w:rsid w:val="00CC2F43"/>
    <w:rsid w:val="00CC2F54"/>
    <w:rsid w:val="00CD6995"/>
    <w:rsid w:val="00CE2506"/>
    <w:rsid w:val="00CE4A8F"/>
    <w:rsid w:val="00CE5AF1"/>
    <w:rsid w:val="00CF0214"/>
    <w:rsid w:val="00CF586F"/>
    <w:rsid w:val="00CF7D43"/>
    <w:rsid w:val="00D00F95"/>
    <w:rsid w:val="00D11129"/>
    <w:rsid w:val="00D11CC7"/>
    <w:rsid w:val="00D14F9C"/>
    <w:rsid w:val="00D2031B"/>
    <w:rsid w:val="00D22332"/>
    <w:rsid w:val="00D226FD"/>
    <w:rsid w:val="00D25541"/>
    <w:rsid w:val="00D25FE2"/>
    <w:rsid w:val="00D43252"/>
    <w:rsid w:val="00D46D60"/>
    <w:rsid w:val="00D51DA2"/>
    <w:rsid w:val="00D550F9"/>
    <w:rsid w:val="00D572B0"/>
    <w:rsid w:val="00D605CD"/>
    <w:rsid w:val="00D62E90"/>
    <w:rsid w:val="00D76BE5"/>
    <w:rsid w:val="00D933A8"/>
    <w:rsid w:val="00D93A75"/>
    <w:rsid w:val="00D978C6"/>
    <w:rsid w:val="00DA67AD"/>
    <w:rsid w:val="00DB18CE"/>
    <w:rsid w:val="00DC7ADA"/>
    <w:rsid w:val="00DE1398"/>
    <w:rsid w:val="00DE153A"/>
    <w:rsid w:val="00DE3EC0"/>
    <w:rsid w:val="00DF117F"/>
    <w:rsid w:val="00E11593"/>
    <w:rsid w:val="00E12B6B"/>
    <w:rsid w:val="00E130AB"/>
    <w:rsid w:val="00E16D14"/>
    <w:rsid w:val="00E172F5"/>
    <w:rsid w:val="00E17B11"/>
    <w:rsid w:val="00E228DD"/>
    <w:rsid w:val="00E24784"/>
    <w:rsid w:val="00E26AF3"/>
    <w:rsid w:val="00E31946"/>
    <w:rsid w:val="00E438D9"/>
    <w:rsid w:val="00E5644E"/>
    <w:rsid w:val="00E651B7"/>
    <w:rsid w:val="00E7260F"/>
    <w:rsid w:val="00E806EE"/>
    <w:rsid w:val="00E81FD6"/>
    <w:rsid w:val="00E846A9"/>
    <w:rsid w:val="00E96630"/>
    <w:rsid w:val="00EB0FB9"/>
    <w:rsid w:val="00EC48A6"/>
    <w:rsid w:val="00EC73C7"/>
    <w:rsid w:val="00ED01BE"/>
    <w:rsid w:val="00ED0CA9"/>
    <w:rsid w:val="00ED1D8C"/>
    <w:rsid w:val="00ED7A2A"/>
    <w:rsid w:val="00EE070E"/>
    <w:rsid w:val="00EE1692"/>
    <w:rsid w:val="00EF1D7F"/>
    <w:rsid w:val="00EF5BDB"/>
    <w:rsid w:val="00EF7CE9"/>
    <w:rsid w:val="00F07FD9"/>
    <w:rsid w:val="00F10351"/>
    <w:rsid w:val="00F1383F"/>
    <w:rsid w:val="00F22C56"/>
    <w:rsid w:val="00F23933"/>
    <w:rsid w:val="00F24119"/>
    <w:rsid w:val="00F354BE"/>
    <w:rsid w:val="00F40E75"/>
    <w:rsid w:val="00F42CD9"/>
    <w:rsid w:val="00F461F7"/>
    <w:rsid w:val="00F515AE"/>
    <w:rsid w:val="00F52936"/>
    <w:rsid w:val="00F55869"/>
    <w:rsid w:val="00F56921"/>
    <w:rsid w:val="00F56ACB"/>
    <w:rsid w:val="00F62C49"/>
    <w:rsid w:val="00F677CB"/>
    <w:rsid w:val="00F71677"/>
    <w:rsid w:val="00F84E57"/>
    <w:rsid w:val="00F8553F"/>
    <w:rsid w:val="00F85B8A"/>
    <w:rsid w:val="00F94050"/>
    <w:rsid w:val="00F94557"/>
    <w:rsid w:val="00FA0200"/>
    <w:rsid w:val="00FA78E2"/>
    <w:rsid w:val="00FA7DF3"/>
    <w:rsid w:val="00FB0E38"/>
    <w:rsid w:val="00FB1C03"/>
    <w:rsid w:val="00FB79DF"/>
    <w:rsid w:val="00FB7A0E"/>
    <w:rsid w:val="00FC68B7"/>
    <w:rsid w:val="00FD7C12"/>
    <w:rsid w:val="00FE436C"/>
    <w:rsid w:val="00FF4737"/>
    <w:rsid w:val="00FF64C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F7167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71677"/>
    <w:rPr>
      <w:rFonts w:ascii="Tahoma" w:hAnsi="Tahoma" w:cs="Tahoma"/>
      <w:sz w:val="16"/>
      <w:szCs w:val="16"/>
      <w:lang w:eastAsia="en-US"/>
    </w:rPr>
  </w:style>
  <w:style w:type="paragraph" w:customStyle="1" w:styleId="Body1">
    <w:name w:val="Body 1"/>
    <w:rsid w:val="00F71677"/>
    <w:pPr>
      <w:suppressAutoHyphens/>
      <w:spacing w:line="240" w:lineRule="atLeast"/>
      <w:outlineLvl w:val="0"/>
    </w:pPr>
    <w:rPr>
      <w:rFonts w:eastAsia="Arial Unicode MS"/>
      <w:color w:val="000000"/>
      <w:u w:color="000000"/>
    </w:rPr>
  </w:style>
  <w:style w:type="character" w:customStyle="1" w:styleId="HChGChar">
    <w:name w:val="_ H _Ch_G Char"/>
    <w:link w:val="HChG"/>
    <w:rsid w:val="00F71677"/>
    <w:rPr>
      <w:b/>
      <w:sz w:val="28"/>
      <w:lang w:eastAsia="en-US"/>
    </w:rPr>
  </w:style>
  <w:style w:type="character" w:customStyle="1" w:styleId="FootnoteTextChar">
    <w:name w:val="Footnote Text Char"/>
    <w:aliases w:val="5_G Char"/>
    <w:link w:val="FootnoteText"/>
    <w:uiPriority w:val="99"/>
    <w:rsid w:val="00896E64"/>
    <w:rPr>
      <w:sz w:val="18"/>
      <w:lang w:eastAsia="en-US"/>
    </w:rPr>
  </w:style>
  <w:style w:type="character" w:styleId="CommentReference">
    <w:name w:val="annotation reference"/>
    <w:basedOn w:val="DefaultParagraphFont"/>
    <w:rsid w:val="00F84E57"/>
    <w:rPr>
      <w:sz w:val="16"/>
      <w:szCs w:val="16"/>
    </w:rPr>
  </w:style>
  <w:style w:type="paragraph" w:styleId="CommentText">
    <w:name w:val="annotation text"/>
    <w:basedOn w:val="Normal"/>
    <w:link w:val="CommentTextChar"/>
    <w:rsid w:val="00F84E57"/>
    <w:pPr>
      <w:spacing w:line="240" w:lineRule="auto"/>
    </w:pPr>
  </w:style>
  <w:style w:type="character" w:customStyle="1" w:styleId="CommentTextChar">
    <w:name w:val="Comment Text Char"/>
    <w:basedOn w:val="DefaultParagraphFont"/>
    <w:link w:val="CommentText"/>
    <w:rsid w:val="00F84E57"/>
    <w:rPr>
      <w:lang w:eastAsia="en-US"/>
    </w:rPr>
  </w:style>
  <w:style w:type="paragraph" w:styleId="CommentSubject">
    <w:name w:val="annotation subject"/>
    <w:basedOn w:val="CommentText"/>
    <w:next w:val="CommentText"/>
    <w:link w:val="CommentSubjectChar"/>
    <w:rsid w:val="00F84E57"/>
    <w:rPr>
      <w:b/>
      <w:bCs/>
    </w:rPr>
  </w:style>
  <w:style w:type="character" w:customStyle="1" w:styleId="CommentSubjectChar">
    <w:name w:val="Comment Subject Char"/>
    <w:basedOn w:val="CommentTextChar"/>
    <w:link w:val="CommentSubject"/>
    <w:rsid w:val="00F84E57"/>
    <w:rPr>
      <w:b/>
      <w:bCs/>
      <w:lang w:eastAsia="en-US"/>
    </w:rPr>
  </w:style>
  <w:style w:type="paragraph" w:styleId="Revision">
    <w:name w:val="Revision"/>
    <w:hidden/>
    <w:rsid w:val="00185107"/>
    <w:rPr>
      <w:lang w:eastAsia="en-US"/>
    </w:rPr>
  </w:style>
  <w:style w:type="paragraph" w:styleId="ListParagraph">
    <w:name w:val="List Paragraph"/>
    <w:basedOn w:val="Normal"/>
    <w:rsid w:val="00BB74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GB" w:eastAsia="en-GB" w:bidi="ar-SA"/>
      </w:rPr>
    </w:rPrDefault>
    <w:pPrDefault/>
  </w:docDefaults>
  <w:latentStyles w:defLockedState="0" w:defUIPriority="0" w:defSemiHidden="0" w:defUnhideWhenUsed="0" w:defQFormat="0" w:count="267"/>
  <w:style w:type="paragraph" w:default="1" w:styleId="Normal">
    <w:name w:val="Normal"/>
    <w:qFormat/>
    <w:rsid w:val="00CF0214"/>
    <w:pPr>
      <w:suppressAutoHyphens/>
      <w:spacing w:line="240" w:lineRule="atLeast"/>
    </w:pPr>
    <w:rPr>
      <w:lang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qFormat/>
    <w:rsid w:val="00CF0214"/>
    <w:pPr>
      <w:spacing w:line="240" w:lineRule="auto"/>
      <w:outlineLvl w:val="1"/>
    </w:pPr>
  </w:style>
  <w:style w:type="paragraph" w:styleId="Heading3">
    <w:name w:val="heading 3"/>
    <w:basedOn w:val="Normal"/>
    <w:next w:val="Normal"/>
    <w:qFormat/>
    <w:rsid w:val="00CF0214"/>
    <w:pPr>
      <w:spacing w:line="240" w:lineRule="auto"/>
      <w:outlineLvl w:val="2"/>
    </w:pPr>
  </w:style>
  <w:style w:type="paragraph" w:styleId="Heading4">
    <w:name w:val="heading 4"/>
    <w:basedOn w:val="Normal"/>
    <w:next w:val="Normal"/>
    <w:qFormat/>
    <w:rsid w:val="00CF0214"/>
    <w:pPr>
      <w:spacing w:line="240" w:lineRule="auto"/>
      <w:outlineLvl w:val="3"/>
    </w:pPr>
  </w:style>
  <w:style w:type="paragraph" w:styleId="Heading5">
    <w:name w:val="heading 5"/>
    <w:basedOn w:val="Normal"/>
    <w:next w:val="Normal"/>
    <w:qFormat/>
    <w:rsid w:val="00CF0214"/>
    <w:pPr>
      <w:spacing w:line="240" w:lineRule="auto"/>
      <w:outlineLvl w:val="4"/>
    </w:pPr>
  </w:style>
  <w:style w:type="paragraph" w:styleId="Heading6">
    <w:name w:val="heading 6"/>
    <w:basedOn w:val="Normal"/>
    <w:next w:val="Normal"/>
    <w:qFormat/>
    <w:rsid w:val="00CF0214"/>
    <w:pPr>
      <w:spacing w:line="240" w:lineRule="auto"/>
      <w:outlineLvl w:val="5"/>
    </w:pPr>
  </w:style>
  <w:style w:type="paragraph" w:styleId="Heading7">
    <w:name w:val="heading 7"/>
    <w:basedOn w:val="Normal"/>
    <w:next w:val="Normal"/>
    <w:qFormat/>
    <w:rsid w:val="00CF0214"/>
    <w:pPr>
      <w:spacing w:line="240" w:lineRule="auto"/>
      <w:outlineLvl w:val="6"/>
    </w:pPr>
  </w:style>
  <w:style w:type="paragraph" w:styleId="Heading8">
    <w:name w:val="heading 8"/>
    <w:basedOn w:val="Normal"/>
    <w:next w:val="Normal"/>
    <w:qFormat/>
    <w:rsid w:val="00CF0214"/>
    <w:pPr>
      <w:spacing w:line="240" w:lineRule="auto"/>
      <w:outlineLvl w:val="7"/>
    </w:pPr>
  </w:style>
  <w:style w:type="paragraph" w:styleId="Heading9">
    <w:name w:val="heading 9"/>
    <w:basedOn w:val="Normal"/>
    <w:next w:val="Normal"/>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rsid w:val="00CF0214"/>
    <w:pPr>
      <w:spacing w:after="120"/>
      <w:ind w:left="1134" w:right="1134"/>
      <w:jc w:val="both"/>
    </w:pPr>
  </w:style>
  <w:style w:type="paragraph" w:customStyle="1" w:styleId="HMG">
    <w:name w:val="_ H __M_G"/>
    <w:basedOn w:val="Normal"/>
    <w:next w:val="Normal"/>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uiPriority w:val="99"/>
    <w:qFormat/>
    <w:rsid w:val="00CF0214"/>
    <w:rPr>
      <w:rFonts w:ascii="Times New Roman" w:hAnsi="Times New Roman"/>
      <w:sz w:val="18"/>
      <w:vertAlign w:val="superscript"/>
    </w:rPr>
  </w:style>
  <w:style w:type="character" w:styleId="EndnoteReference">
    <w:name w:val="endnote reference"/>
    <w:aliases w:val="1_G"/>
    <w:basedOn w:val="FootnoteReference"/>
    <w:rsid w:val="00CF0214"/>
    <w:rPr>
      <w:rFonts w:ascii="Times New Roman" w:hAnsi="Times New Roman"/>
      <w:sz w:val="18"/>
      <w:vertAlign w:val="superscript"/>
    </w:rPr>
  </w:style>
  <w:style w:type="paragraph" w:styleId="Header">
    <w:name w:val="header"/>
    <w:aliases w:val="6_G"/>
    <w:basedOn w:val="Normal"/>
    <w:rsid w:val="00CF0214"/>
    <w:pPr>
      <w:pBdr>
        <w:bottom w:val="single" w:sz="4" w:space="4" w:color="auto"/>
      </w:pBdr>
      <w:spacing w:line="240" w:lineRule="auto"/>
    </w:pPr>
    <w:rPr>
      <w:b/>
      <w:sz w:val="18"/>
    </w:rPr>
  </w:style>
  <w:style w:type="table" w:styleId="TableGrid">
    <w:name w:val="Table Grid"/>
    <w:basedOn w:val="TableNormal"/>
    <w:semiHidden/>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CF0214"/>
    <w:rPr>
      <w:color w:val="auto"/>
      <w:u w:val="none"/>
    </w:rPr>
  </w:style>
  <w:style w:type="character" w:styleId="FollowedHyperlink">
    <w:name w:val="FollowedHyperlink"/>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
    <w:basedOn w:val="Normal"/>
    <w:link w:val="FootnoteTextChar"/>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rsid w:val="00CF0214"/>
  </w:style>
  <w:style w:type="character" w:styleId="PageNumber">
    <w:name w:val="page number"/>
    <w:aliases w:val="7_G"/>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rsid w:val="00CF0214"/>
    <w:pPr>
      <w:numPr>
        <w:numId w:val="6"/>
      </w:numPr>
      <w:spacing w:after="120"/>
      <w:ind w:right="1134"/>
      <w:jc w:val="both"/>
    </w:pPr>
  </w:style>
  <w:style w:type="paragraph" w:styleId="Footer">
    <w:name w:val="footer"/>
    <w:aliases w:val="3_G"/>
    <w:basedOn w:val="Normal"/>
    <w:rsid w:val="00CF0214"/>
    <w:pPr>
      <w:spacing w:line="240" w:lineRule="auto"/>
    </w:pPr>
    <w:rPr>
      <w:sz w:val="16"/>
    </w:rPr>
  </w:style>
  <w:style w:type="paragraph" w:customStyle="1" w:styleId="Bullet2G">
    <w:name w:val="_Bullet 2_G"/>
    <w:basedOn w:val="Normal"/>
    <w:rsid w:val="00CF0214"/>
    <w:pPr>
      <w:numPr>
        <w:numId w:val="7"/>
      </w:numPr>
      <w:spacing w:after="120"/>
      <w:ind w:right="1134"/>
      <w:jc w:val="both"/>
    </w:pPr>
  </w:style>
  <w:style w:type="paragraph" w:customStyle="1" w:styleId="H1G">
    <w:name w:val="_ H_1_G"/>
    <w:basedOn w:val="Normal"/>
    <w:next w:val="Normal"/>
    <w:rsid w:val="00CF0214"/>
    <w:pPr>
      <w:keepNext/>
      <w:keepLines/>
      <w:tabs>
        <w:tab w:val="right" w:pos="851"/>
      </w:tabs>
      <w:spacing w:before="360" w:after="240" w:line="270" w:lineRule="exact"/>
      <w:ind w:left="1134" w:right="1134" w:hanging="1134"/>
    </w:pPr>
    <w:rPr>
      <w:b/>
    </w:rPr>
  </w:style>
  <w:style w:type="paragraph" w:customStyle="1" w:styleId="H23G">
    <w:name w:val="_ H_2/3_G"/>
    <w:basedOn w:val="Normal"/>
    <w:next w:val="Normal"/>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rsid w:val="00F71677"/>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F71677"/>
    <w:rPr>
      <w:rFonts w:ascii="Tahoma" w:hAnsi="Tahoma" w:cs="Tahoma"/>
      <w:sz w:val="16"/>
      <w:szCs w:val="16"/>
      <w:lang w:eastAsia="en-US"/>
    </w:rPr>
  </w:style>
  <w:style w:type="paragraph" w:customStyle="1" w:styleId="Body1">
    <w:name w:val="Body 1"/>
    <w:rsid w:val="00F71677"/>
    <w:pPr>
      <w:suppressAutoHyphens/>
      <w:spacing w:line="240" w:lineRule="atLeast"/>
      <w:outlineLvl w:val="0"/>
    </w:pPr>
    <w:rPr>
      <w:rFonts w:eastAsia="Arial Unicode MS"/>
      <w:color w:val="000000"/>
      <w:u w:color="000000"/>
    </w:rPr>
  </w:style>
  <w:style w:type="character" w:customStyle="1" w:styleId="HChGChar">
    <w:name w:val="_ H _Ch_G Char"/>
    <w:link w:val="HChG"/>
    <w:rsid w:val="00F71677"/>
    <w:rPr>
      <w:b/>
      <w:sz w:val="28"/>
      <w:lang w:eastAsia="en-US"/>
    </w:rPr>
  </w:style>
  <w:style w:type="character" w:customStyle="1" w:styleId="FootnoteTextChar">
    <w:name w:val="Footnote Text Char"/>
    <w:aliases w:val="5_G Char"/>
    <w:link w:val="FootnoteText"/>
    <w:uiPriority w:val="99"/>
    <w:rsid w:val="00896E64"/>
    <w:rPr>
      <w:sz w:val="18"/>
      <w:lang w:eastAsia="en-US"/>
    </w:rPr>
  </w:style>
  <w:style w:type="character" w:styleId="CommentReference">
    <w:name w:val="annotation reference"/>
    <w:basedOn w:val="DefaultParagraphFont"/>
    <w:rsid w:val="00F84E57"/>
    <w:rPr>
      <w:sz w:val="16"/>
      <w:szCs w:val="16"/>
    </w:rPr>
  </w:style>
  <w:style w:type="paragraph" w:styleId="CommentText">
    <w:name w:val="annotation text"/>
    <w:basedOn w:val="Normal"/>
    <w:link w:val="CommentTextChar"/>
    <w:rsid w:val="00F84E57"/>
    <w:pPr>
      <w:spacing w:line="240" w:lineRule="auto"/>
    </w:pPr>
  </w:style>
  <w:style w:type="character" w:customStyle="1" w:styleId="CommentTextChar">
    <w:name w:val="Comment Text Char"/>
    <w:basedOn w:val="DefaultParagraphFont"/>
    <w:link w:val="CommentText"/>
    <w:rsid w:val="00F84E57"/>
    <w:rPr>
      <w:lang w:eastAsia="en-US"/>
    </w:rPr>
  </w:style>
  <w:style w:type="paragraph" w:styleId="CommentSubject">
    <w:name w:val="annotation subject"/>
    <w:basedOn w:val="CommentText"/>
    <w:next w:val="CommentText"/>
    <w:link w:val="CommentSubjectChar"/>
    <w:rsid w:val="00F84E57"/>
    <w:rPr>
      <w:b/>
      <w:bCs/>
    </w:rPr>
  </w:style>
  <w:style w:type="character" w:customStyle="1" w:styleId="CommentSubjectChar">
    <w:name w:val="Comment Subject Char"/>
    <w:basedOn w:val="CommentTextChar"/>
    <w:link w:val="CommentSubject"/>
    <w:rsid w:val="00F84E57"/>
    <w:rPr>
      <w:b/>
      <w:bCs/>
      <w:lang w:eastAsia="en-US"/>
    </w:rPr>
  </w:style>
  <w:style w:type="paragraph" w:styleId="Revision">
    <w:name w:val="Revision"/>
    <w:hidden/>
    <w:rsid w:val="00185107"/>
    <w:rPr>
      <w:lang w:eastAsia="en-US"/>
    </w:rPr>
  </w:style>
  <w:style w:type="paragraph" w:styleId="ListParagraph">
    <w:name w:val="List Paragraph"/>
    <w:basedOn w:val="Normal"/>
    <w:rsid w:val="00BB7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95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77456C1-E73B-4BD4-B030-80E088F2E7FD}"/>
</file>

<file path=customXml/itemProps2.xml><?xml version="1.0" encoding="utf-8"?>
<ds:datastoreItem xmlns:ds="http://schemas.openxmlformats.org/officeDocument/2006/customXml" ds:itemID="{B382EC17-660B-4FBB-A56F-7A301E0A3507}"/>
</file>

<file path=customXml/itemProps3.xml><?xml version="1.0" encoding="utf-8"?>
<ds:datastoreItem xmlns:ds="http://schemas.openxmlformats.org/officeDocument/2006/customXml" ds:itemID="{20ADCD13-414E-4293-88F2-603AF960D606}"/>
</file>

<file path=customXml/itemProps4.xml><?xml version="1.0" encoding="utf-8"?>
<ds:datastoreItem xmlns:ds="http://schemas.openxmlformats.org/officeDocument/2006/customXml" ds:itemID="{41E578A0-0217-4A8C-9529-2E5586A554E6}"/>
</file>

<file path=docProps/app.xml><?xml version="1.0" encoding="utf-8"?>
<Properties xmlns="http://schemas.openxmlformats.org/officeDocument/2006/extended-properties" xmlns:vt="http://schemas.openxmlformats.org/officeDocument/2006/docPropsVTypes">
  <Template>F963B696.dotm</Template>
  <TotalTime>0</TotalTime>
  <Pages>24</Pages>
  <Words>10646</Words>
  <Characters>60686</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CSD</Company>
  <LinksUpToDate>false</LinksUpToDate>
  <CharactersWithSpaces>71190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Teresa Nieto</dc:creator>
  <cp:lastModifiedBy>Iuliia Somova</cp:lastModifiedBy>
  <cp:revision>2</cp:revision>
  <cp:lastPrinted>2016-10-28T15:44:00Z</cp:lastPrinted>
  <dcterms:created xsi:type="dcterms:W3CDTF">2016-11-17T13:24:00Z</dcterms:created>
  <dcterms:modified xsi:type="dcterms:W3CDTF">2016-11-17T13:24:00Z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3868400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