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63D10" w14:textId="77777777" w:rsidR="00B8706D" w:rsidRDefault="00623586">
      <w:pPr>
        <w:spacing w:after="6" w:line="259" w:lineRule="auto"/>
        <w:ind w:left="10" w:right="-9" w:hanging="10"/>
        <w:jc w:val="right"/>
      </w:pPr>
      <w:r>
        <w:rPr>
          <w:b/>
        </w:rPr>
        <w:t xml:space="preserve">Rights and Security International </w:t>
      </w:r>
    </w:p>
    <w:p w14:paraId="5C317A7C" w14:textId="77777777" w:rsidR="00B8706D" w:rsidRDefault="00623586">
      <w:pPr>
        <w:spacing w:after="6" w:line="259" w:lineRule="auto"/>
        <w:ind w:left="10" w:right="-9" w:hanging="10"/>
        <w:jc w:val="right"/>
      </w:pPr>
      <w:r>
        <w:rPr>
          <w:b/>
        </w:rPr>
        <w:t xml:space="preserve">4/4A Bloomsbury Square </w:t>
      </w:r>
    </w:p>
    <w:p w14:paraId="7134C18F" w14:textId="77777777" w:rsidR="00B8706D" w:rsidRDefault="00623586">
      <w:pPr>
        <w:spacing w:after="6" w:line="259" w:lineRule="auto"/>
        <w:ind w:left="10" w:right="-9" w:hanging="10"/>
        <w:jc w:val="right"/>
      </w:pPr>
      <w:r>
        <w:rPr>
          <w:b/>
        </w:rPr>
        <w:t xml:space="preserve">WC1A 2RP </w:t>
      </w:r>
    </w:p>
    <w:p w14:paraId="0FF274FA" w14:textId="77777777" w:rsidR="00B8706D" w:rsidRDefault="00623586">
      <w:pPr>
        <w:spacing w:after="6" w:line="259" w:lineRule="auto"/>
        <w:ind w:left="10" w:right="-9" w:hanging="10"/>
        <w:jc w:val="right"/>
      </w:pPr>
      <w:r>
        <w:rPr>
          <w:b/>
        </w:rPr>
        <w:t xml:space="preserve">London, United Kingdom </w:t>
      </w:r>
    </w:p>
    <w:p w14:paraId="637E4F31" w14:textId="77777777" w:rsidR="00B8706D" w:rsidRDefault="00623586">
      <w:pPr>
        <w:spacing w:after="7" w:line="259" w:lineRule="auto"/>
        <w:ind w:left="1962" w:firstLine="0"/>
        <w:jc w:val="center"/>
      </w:pPr>
      <w:r>
        <w:rPr>
          <w:b/>
        </w:rPr>
        <w:t xml:space="preserve"> </w:t>
      </w:r>
    </w:p>
    <w:p w14:paraId="7FB109BA" w14:textId="77777777" w:rsidR="00B8706D" w:rsidRDefault="00623586">
      <w:pPr>
        <w:spacing w:after="9" w:line="259" w:lineRule="auto"/>
        <w:ind w:left="1962" w:firstLine="0"/>
        <w:jc w:val="center"/>
      </w:pPr>
      <w:r>
        <w:rPr>
          <w:b/>
        </w:rPr>
        <w:t xml:space="preserve"> </w:t>
      </w:r>
    </w:p>
    <w:p w14:paraId="45CF193C" w14:textId="4ED2007F" w:rsidR="00B8706D" w:rsidRDefault="00623586">
      <w:pPr>
        <w:ind w:left="0" w:firstLine="0"/>
      </w:pPr>
      <w:r>
        <w:t xml:space="preserve">2 </w:t>
      </w:r>
      <w:r w:rsidR="002C3296">
        <w:t>March</w:t>
      </w:r>
      <w:r>
        <w:t xml:space="preserve"> 202</w:t>
      </w:r>
      <w:r w:rsidR="002C3296">
        <w:t>1</w:t>
      </w:r>
    </w:p>
    <w:p w14:paraId="3507E598" w14:textId="51BD94D6" w:rsidR="00B8706D" w:rsidRDefault="00B8706D">
      <w:pPr>
        <w:spacing w:after="38" w:line="259" w:lineRule="auto"/>
        <w:ind w:left="0" w:firstLine="0"/>
        <w:jc w:val="left"/>
      </w:pPr>
    </w:p>
    <w:p w14:paraId="0AFFC70C" w14:textId="51443D0D" w:rsidR="00B8706D" w:rsidRPr="007B390F" w:rsidRDefault="00623586">
      <w:pPr>
        <w:spacing w:after="9" w:line="259" w:lineRule="auto"/>
        <w:ind w:left="0" w:right="13" w:firstLine="0"/>
        <w:jc w:val="center"/>
        <w:rPr>
          <w:sz w:val="26"/>
          <w:szCs w:val="26"/>
        </w:rPr>
      </w:pPr>
      <w:r w:rsidRPr="007B390F">
        <w:rPr>
          <w:b/>
          <w:sz w:val="26"/>
          <w:szCs w:val="26"/>
          <w:u w:color="000000"/>
        </w:rPr>
        <w:t>Briefing on the</w:t>
      </w:r>
      <w:r w:rsidR="002C3296" w:rsidRPr="007B390F">
        <w:rPr>
          <w:b/>
          <w:sz w:val="26"/>
          <w:szCs w:val="26"/>
          <w:u w:color="000000"/>
        </w:rPr>
        <w:t xml:space="preserve"> impact of the</w:t>
      </w:r>
      <w:r w:rsidRPr="007B390F">
        <w:rPr>
          <w:b/>
          <w:sz w:val="26"/>
          <w:szCs w:val="26"/>
          <w:u w:color="000000"/>
        </w:rPr>
        <w:t xml:space="preserve"> Overseas Operations</w:t>
      </w:r>
      <w:r w:rsidR="0031472E" w:rsidRPr="007B390F">
        <w:rPr>
          <w:b/>
          <w:sz w:val="26"/>
          <w:szCs w:val="26"/>
          <w:u w:color="000000"/>
        </w:rPr>
        <w:t xml:space="preserve"> (Service Personnel and Veterans)</w:t>
      </w:r>
      <w:r w:rsidRPr="007B390F">
        <w:rPr>
          <w:b/>
          <w:sz w:val="26"/>
          <w:szCs w:val="26"/>
          <w:u w:color="000000"/>
        </w:rPr>
        <w:t xml:space="preserve"> </w:t>
      </w:r>
      <w:r w:rsidR="002C3296" w:rsidRPr="007B390F">
        <w:rPr>
          <w:b/>
          <w:sz w:val="26"/>
          <w:szCs w:val="26"/>
          <w:u w:color="000000"/>
        </w:rPr>
        <w:t>Bill</w:t>
      </w:r>
      <w:r w:rsidR="0031472E" w:rsidRPr="007B390F">
        <w:rPr>
          <w:b/>
          <w:sz w:val="26"/>
          <w:szCs w:val="26"/>
          <w:u w:color="000000"/>
        </w:rPr>
        <w:t xml:space="preserve"> 2019-2021</w:t>
      </w:r>
      <w:r w:rsidR="002C3296" w:rsidRPr="007B390F">
        <w:rPr>
          <w:b/>
          <w:sz w:val="26"/>
          <w:szCs w:val="26"/>
        </w:rPr>
        <w:t xml:space="preserve"> on the Belfast (Good Friday) Agreement</w:t>
      </w:r>
      <w:r w:rsidR="0031472E" w:rsidRPr="007B390F">
        <w:rPr>
          <w:b/>
          <w:sz w:val="26"/>
          <w:szCs w:val="26"/>
        </w:rPr>
        <w:t xml:space="preserve"> 1998</w:t>
      </w:r>
    </w:p>
    <w:p w14:paraId="2AE04FE8" w14:textId="2AF5464B" w:rsidR="0031472E" w:rsidRPr="007B390F" w:rsidRDefault="00623586" w:rsidP="007B390F">
      <w:pPr>
        <w:spacing w:after="6" w:line="259" w:lineRule="auto"/>
        <w:ind w:left="0" w:firstLine="0"/>
        <w:jc w:val="left"/>
      </w:pPr>
      <w:r>
        <w:rPr>
          <w:b/>
          <w:sz w:val="24"/>
        </w:rPr>
        <w:t xml:space="preserve"> </w:t>
      </w:r>
    </w:p>
    <w:p w14:paraId="2440DC60" w14:textId="77777777" w:rsidR="007B390F" w:rsidRDefault="0031472E" w:rsidP="008C388B">
      <w:pPr>
        <w:pStyle w:val="ListParagraph"/>
        <w:numPr>
          <w:ilvl w:val="0"/>
          <w:numId w:val="5"/>
        </w:numPr>
      </w:pPr>
      <w:r>
        <w:t>R</w:t>
      </w:r>
      <w:r w:rsidR="007B390F">
        <w:t xml:space="preserve">ights and </w:t>
      </w:r>
      <w:r>
        <w:t>S</w:t>
      </w:r>
      <w:r w:rsidR="007B390F">
        <w:t xml:space="preserve">ecurity </w:t>
      </w:r>
      <w:r>
        <w:t>I</w:t>
      </w:r>
      <w:r w:rsidR="007B390F">
        <w:t>nternational (‘RSI’)</w:t>
      </w:r>
      <w:r>
        <w:t xml:space="preserve"> is concerned that the implementation </w:t>
      </w:r>
      <w:r w:rsidR="0095420F">
        <w:t>of the Overseas Operations Bill (</w:t>
      </w:r>
      <w:r w:rsidR="007B390F">
        <w:t>‘</w:t>
      </w:r>
      <w:r w:rsidR="0095420F">
        <w:t>the bill</w:t>
      </w:r>
      <w:r w:rsidR="007B390F">
        <w:t>’</w:t>
      </w:r>
      <w:r w:rsidR="0095420F">
        <w:t xml:space="preserve">) </w:t>
      </w:r>
      <w:r w:rsidR="007B390F">
        <w:t>will</w:t>
      </w:r>
      <w:r>
        <w:t xml:space="preserve"> </w:t>
      </w:r>
      <w:r w:rsidR="007B390F">
        <w:t>undermine</w:t>
      </w:r>
      <w:r>
        <w:t xml:space="preserve"> the </w:t>
      </w:r>
      <w:r w:rsidR="0095420F">
        <w:t>Belfast (</w:t>
      </w:r>
      <w:r w:rsidR="007B390F">
        <w:t>‘</w:t>
      </w:r>
      <w:r>
        <w:t>Good Friday</w:t>
      </w:r>
      <w:r w:rsidR="007B390F">
        <w:t>’</w:t>
      </w:r>
      <w:r w:rsidR="0095420F">
        <w:t>)</w:t>
      </w:r>
      <w:r>
        <w:t xml:space="preserve"> Agreement</w:t>
      </w:r>
      <w:r w:rsidR="007B390F">
        <w:t xml:space="preserve"> 1998 between the UK and Ireland</w:t>
      </w:r>
      <w:r w:rsidR="0095420F">
        <w:t>.</w:t>
      </w:r>
      <w:r w:rsidR="007B390F">
        <w:t xml:space="preserve"> The Good Friday Agreement is central to the ongoing peace process in Northern Ireland.</w:t>
      </w:r>
      <w:r w:rsidR="0095420F">
        <w:t xml:space="preserve"> </w:t>
      </w:r>
    </w:p>
    <w:p w14:paraId="78B19FBA" w14:textId="77777777" w:rsidR="007B390F" w:rsidRDefault="007B390F" w:rsidP="008C388B">
      <w:pPr>
        <w:pStyle w:val="ListParagraph"/>
        <w:ind w:left="705" w:firstLine="0"/>
      </w:pPr>
    </w:p>
    <w:p w14:paraId="1A3ED186" w14:textId="75A20717" w:rsidR="0095420F" w:rsidRDefault="0095420F" w:rsidP="008C388B">
      <w:pPr>
        <w:pStyle w:val="ListParagraph"/>
        <w:numPr>
          <w:ilvl w:val="0"/>
          <w:numId w:val="5"/>
        </w:numPr>
      </w:pPr>
      <w:r>
        <w:t xml:space="preserve">The Good Friday Agreement provides that ‘[t]he British Government will complete incorporation into Northern Ireland law of the European Convention on Human Rights (ECHR), with direct access to the courts, and remedies for breach of the Convention…’. </w:t>
      </w:r>
      <w:r w:rsidR="002633C1">
        <w:t>As currently drafted, the bill risks undermining this provision in a number of ways.</w:t>
      </w:r>
    </w:p>
    <w:p w14:paraId="1405B8BC" w14:textId="77777777" w:rsidR="002633C1" w:rsidRDefault="002633C1" w:rsidP="008C388B">
      <w:pPr>
        <w:pStyle w:val="ListParagraph"/>
      </w:pPr>
    </w:p>
    <w:p w14:paraId="63F6F444" w14:textId="1F14525A" w:rsidR="002633C1" w:rsidRDefault="002633C1" w:rsidP="008C388B">
      <w:pPr>
        <w:pStyle w:val="ListParagraph"/>
        <w:numPr>
          <w:ilvl w:val="0"/>
          <w:numId w:val="5"/>
        </w:numPr>
      </w:pPr>
      <w:r>
        <w:t xml:space="preserve">First, Part 1 of the bill introduces a presumption against prosecution for crimes committed by UK service personnel during overseas military operations from five years after the alleged offence took place. This extends to criminal offences which are also considered violations of the ECHR, such as torture (article 3 ECHR). Under the ECHR, there is a procedural obligation to investigate, prosecute and punish acts of torture. The Good Friday Agreement requires that this procedural obligation be incorporated in the law of Northern Ireland. Thus, the bill, as currently drafted, undermines the Good Friday Agreement by making it harder – and in some cases impossible – for breaches of the convention to be prosecuted. </w:t>
      </w:r>
    </w:p>
    <w:p w14:paraId="6B7A71FF" w14:textId="77777777" w:rsidR="0031472E" w:rsidRDefault="0031472E" w:rsidP="008C388B">
      <w:pPr>
        <w:ind w:left="0" w:firstLine="0"/>
      </w:pPr>
    </w:p>
    <w:p w14:paraId="5D922B28" w14:textId="39A5E9BC" w:rsidR="00F87F94" w:rsidRDefault="002633C1" w:rsidP="008C388B">
      <w:pPr>
        <w:pStyle w:val="ListParagraph"/>
        <w:numPr>
          <w:ilvl w:val="0"/>
          <w:numId w:val="5"/>
        </w:numPr>
      </w:pPr>
      <w:r>
        <w:t>Second, Part 2 of the bill imposes an absolute six-year longstop on civil claims (i.e. claims for wrongful death or personal injury) and claims under the Human Rights Act 1998 (‘HRA’), which incorporates the ECHR into the domestic law of the UK.</w:t>
      </w:r>
      <w:r w:rsidR="00F87F94">
        <w:t xml:space="preserve"> This means that beyond the six-year mark no one may bring a claim alleging person injury, wrongful death, or a breach of the HRA arising out of an overseas military operation before UK courts. As well as undermining the ECHR’s procedural obligations to investigate, prosecute and punish breaches of the Convention, this directly undermines the Good Friday Agreement’s requirement that the UK ensure direct access to the courts, and remedies for breaches of the Convention. </w:t>
      </w:r>
    </w:p>
    <w:p w14:paraId="63AE92C6" w14:textId="77777777" w:rsidR="00F50A68" w:rsidRDefault="00F50A68" w:rsidP="00F87F94">
      <w:pPr>
        <w:ind w:left="0" w:firstLine="0"/>
      </w:pPr>
    </w:p>
    <w:p w14:paraId="77ED3F9E" w14:textId="12B0882B" w:rsidR="00F50A68" w:rsidRPr="00F87F94" w:rsidRDefault="00F50A68" w:rsidP="00F87F94">
      <w:pPr>
        <w:rPr>
          <w:b/>
          <w:bCs/>
        </w:rPr>
      </w:pPr>
      <w:r w:rsidRPr="00F87F94">
        <w:rPr>
          <w:b/>
          <w:bCs/>
        </w:rPr>
        <w:t>RSI encloses two proposed amendments intended to remedy the shortcomings</w:t>
      </w:r>
      <w:r w:rsidR="00F87F94">
        <w:rPr>
          <w:b/>
          <w:bCs/>
        </w:rPr>
        <w:t xml:space="preserve"> in the bill</w:t>
      </w:r>
      <w:r w:rsidRPr="00F87F94">
        <w:rPr>
          <w:b/>
          <w:bCs/>
        </w:rPr>
        <w:t xml:space="preserve"> discussed above. </w:t>
      </w:r>
    </w:p>
    <w:p w14:paraId="4E700163" w14:textId="39F2053D" w:rsidR="00F50A68" w:rsidRDefault="00F50A68" w:rsidP="00F50A68">
      <w:pPr>
        <w:pStyle w:val="ListParagraph"/>
        <w:ind w:left="705" w:firstLine="0"/>
      </w:pPr>
    </w:p>
    <w:p w14:paraId="14BFB993" w14:textId="3AC18F09" w:rsidR="00F50A68" w:rsidRPr="00F87F94" w:rsidRDefault="00F50A68" w:rsidP="00F87F94">
      <w:pPr>
        <w:rPr>
          <w:i/>
          <w:iCs/>
        </w:rPr>
      </w:pPr>
      <w:r w:rsidRPr="00F87F94">
        <w:rPr>
          <w:i/>
          <w:iCs/>
        </w:rPr>
        <w:t xml:space="preserve">To discuss this further, please contact Emily Ramsden, RSI’s Legal and Policy Officer at </w:t>
      </w:r>
      <w:hyperlink r:id="rId7" w:history="1">
        <w:r w:rsidRPr="00F87F94">
          <w:rPr>
            <w:rStyle w:val="Hyperlink"/>
            <w:i/>
            <w:iCs/>
          </w:rPr>
          <w:t>eramsden@rightsandsecurity.org</w:t>
        </w:r>
      </w:hyperlink>
      <w:r w:rsidRPr="00F87F94">
        <w:rPr>
          <w:i/>
          <w:iCs/>
        </w:rPr>
        <w:t xml:space="preserve">. </w:t>
      </w:r>
    </w:p>
    <w:p w14:paraId="4067055D" w14:textId="389566BF" w:rsidR="0031472E" w:rsidRDefault="0031472E" w:rsidP="00053F7E">
      <w:pPr>
        <w:ind w:left="0" w:firstLine="0"/>
        <w:rPr>
          <w:b/>
          <w:bCs/>
          <w:sz w:val="22"/>
          <w:szCs w:val="22"/>
        </w:rPr>
      </w:pPr>
    </w:p>
    <w:p w14:paraId="2600FC94" w14:textId="77777777" w:rsidR="00763271" w:rsidRDefault="00763271" w:rsidP="001618B8">
      <w:pPr>
        <w:spacing w:after="0" w:line="259" w:lineRule="auto"/>
        <w:ind w:left="0" w:firstLine="0"/>
        <w:jc w:val="left"/>
        <w:rPr>
          <w:b/>
          <w:sz w:val="18"/>
          <w:szCs w:val="18"/>
        </w:rPr>
      </w:pPr>
    </w:p>
    <w:p w14:paraId="741C54B9" w14:textId="2D04A37F" w:rsidR="001618B8" w:rsidRPr="00F87F94" w:rsidRDefault="001618B8" w:rsidP="001618B8">
      <w:pPr>
        <w:spacing w:after="0" w:line="259" w:lineRule="auto"/>
        <w:ind w:left="0" w:firstLine="0"/>
        <w:jc w:val="left"/>
        <w:rPr>
          <w:sz w:val="18"/>
          <w:szCs w:val="18"/>
        </w:rPr>
      </w:pPr>
      <w:r w:rsidRPr="00F87F94">
        <w:rPr>
          <w:b/>
          <w:sz w:val="18"/>
          <w:szCs w:val="18"/>
        </w:rPr>
        <w:t xml:space="preserve">Background on Rights and Security International </w:t>
      </w:r>
    </w:p>
    <w:p w14:paraId="229F36D4" w14:textId="77777777" w:rsidR="00F87F94" w:rsidRDefault="00F87F94" w:rsidP="00F87F94">
      <w:pPr>
        <w:spacing w:after="47" w:line="259" w:lineRule="auto"/>
        <w:ind w:left="0" w:firstLine="0"/>
        <w:jc w:val="left"/>
        <w:rPr>
          <w:sz w:val="18"/>
          <w:szCs w:val="18"/>
        </w:rPr>
      </w:pPr>
    </w:p>
    <w:p w14:paraId="5693832E" w14:textId="0EE69183" w:rsidR="001618B8" w:rsidRPr="00763271" w:rsidRDefault="001618B8" w:rsidP="00763271">
      <w:pPr>
        <w:spacing w:after="47" w:line="259" w:lineRule="auto"/>
        <w:ind w:left="0" w:firstLine="0"/>
        <w:rPr>
          <w:sz w:val="18"/>
          <w:szCs w:val="18"/>
        </w:rPr>
      </w:pPr>
      <w:r w:rsidRPr="00F87F94">
        <w:rPr>
          <w:sz w:val="18"/>
          <w:szCs w:val="18"/>
        </w:rPr>
        <w:t xml:space="preserve">Rights and Security International (RSI) is a London-based NGO with over 30 years of experience ensuring that measures taken in the name of national security are implemented in a manner compliant with international law, including human rights law, and the rule of law. RSI’s work initially focused on national security in Northern Ireland (as British Irish Rights Watch), before expanding its mandate to reviewing the whole of the UK (as Rights Watch (UK)), and now internationally. RSI has been closely involved in monitoring the Government’s involvement in overseas military operations, seeking to ensure that these measures are compliant with human rights standards and international law. </w:t>
      </w:r>
    </w:p>
    <w:sectPr w:rsidR="001618B8" w:rsidRPr="00763271">
      <w:headerReference w:type="even" r:id="rId8"/>
      <w:headerReference w:type="default" r:id="rId9"/>
      <w:footerReference w:type="even" r:id="rId10"/>
      <w:footerReference w:type="default" r:id="rId11"/>
      <w:headerReference w:type="first" r:id="rId12"/>
      <w:footerReference w:type="first" r:id="rId13"/>
      <w:pgSz w:w="11906" w:h="16838"/>
      <w:pgMar w:top="907" w:right="713" w:bottom="137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314F3" w14:textId="77777777" w:rsidR="00623586" w:rsidRDefault="00623586">
      <w:pPr>
        <w:spacing w:after="0" w:line="240" w:lineRule="auto"/>
      </w:pPr>
      <w:r>
        <w:separator/>
      </w:r>
    </w:p>
  </w:endnote>
  <w:endnote w:type="continuationSeparator" w:id="0">
    <w:p w14:paraId="1BC64988" w14:textId="77777777" w:rsidR="00623586" w:rsidRDefault="00623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118F" w14:textId="77777777" w:rsidR="00B8706D" w:rsidRDefault="00623586">
    <w:pPr>
      <w:spacing w:after="0" w:line="259" w:lineRule="auto"/>
      <w:ind w:left="0" w:firstLine="0"/>
      <w:jc w:val="left"/>
    </w:pPr>
    <w:r>
      <w:rPr>
        <w:noProof/>
      </w:rPr>
      <w:drawing>
        <wp:anchor distT="0" distB="0" distL="114300" distR="114300" simplePos="0" relativeHeight="251661312" behindDoc="0" locked="0" layoutInCell="1" allowOverlap="0" wp14:anchorId="7607B5B0" wp14:editId="20D2117B">
          <wp:simplePos x="0" y="0"/>
          <wp:positionH relativeFrom="page">
            <wp:posOffset>10161</wp:posOffset>
          </wp:positionH>
          <wp:positionV relativeFrom="page">
            <wp:posOffset>9820287</wp:posOffset>
          </wp:positionV>
          <wp:extent cx="7537704" cy="676656"/>
          <wp:effectExtent l="0" t="0" r="0" b="0"/>
          <wp:wrapSquare wrapText="bothSides"/>
          <wp:docPr id="7072" name="Picture 7072"/>
          <wp:cNvGraphicFramePr/>
          <a:graphic xmlns:a="http://schemas.openxmlformats.org/drawingml/2006/main">
            <a:graphicData uri="http://schemas.openxmlformats.org/drawingml/2006/picture">
              <pic:pic xmlns:pic="http://schemas.openxmlformats.org/drawingml/2006/picture">
                <pic:nvPicPr>
                  <pic:cNvPr id="7072" name="Picture 7072"/>
                  <pic:cNvPicPr/>
                </pic:nvPicPr>
                <pic:blipFill>
                  <a:blip r:embed="rId1"/>
                  <a:stretch>
                    <a:fillRect/>
                  </a:stretch>
                </pic:blipFill>
                <pic:spPr>
                  <a:xfrm>
                    <a:off x="0" y="0"/>
                    <a:ext cx="7537704" cy="676656"/>
                  </a:xfrm>
                  <a:prstGeom prst="rect">
                    <a:avLst/>
                  </a:prstGeom>
                </pic:spPr>
              </pic:pic>
            </a:graphicData>
          </a:graphic>
        </wp:anchor>
      </w:drawing>
    </w: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D6595" w14:textId="77777777" w:rsidR="00B8706D" w:rsidRDefault="00623586">
    <w:pPr>
      <w:spacing w:after="0" w:line="259" w:lineRule="auto"/>
      <w:ind w:left="0" w:firstLine="0"/>
      <w:jc w:val="left"/>
    </w:pPr>
    <w:r>
      <w:rPr>
        <w:noProof/>
      </w:rPr>
      <w:drawing>
        <wp:anchor distT="0" distB="0" distL="114300" distR="114300" simplePos="0" relativeHeight="251662336" behindDoc="0" locked="0" layoutInCell="1" allowOverlap="0" wp14:anchorId="35F56EEE" wp14:editId="23AD72BC">
          <wp:simplePos x="0" y="0"/>
          <wp:positionH relativeFrom="page">
            <wp:posOffset>10161</wp:posOffset>
          </wp:positionH>
          <wp:positionV relativeFrom="page">
            <wp:posOffset>9820287</wp:posOffset>
          </wp:positionV>
          <wp:extent cx="7537704" cy="67665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072" name="Picture 7072"/>
                  <pic:cNvPicPr/>
                </pic:nvPicPr>
                <pic:blipFill>
                  <a:blip r:embed="rId1"/>
                  <a:stretch>
                    <a:fillRect/>
                  </a:stretch>
                </pic:blipFill>
                <pic:spPr>
                  <a:xfrm>
                    <a:off x="0" y="0"/>
                    <a:ext cx="7537704" cy="676656"/>
                  </a:xfrm>
                  <a:prstGeom prst="rect">
                    <a:avLst/>
                  </a:prstGeom>
                </pic:spPr>
              </pic:pic>
            </a:graphicData>
          </a:graphic>
        </wp:anchor>
      </w:drawing>
    </w: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3860" w14:textId="77777777" w:rsidR="00B8706D" w:rsidRDefault="00623586">
    <w:pPr>
      <w:spacing w:after="0" w:line="259" w:lineRule="auto"/>
      <w:ind w:left="0" w:firstLine="0"/>
      <w:jc w:val="left"/>
    </w:pPr>
    <w:r>
      <w:rPr>
        <w:noProof/>
      </w:rPr>
      <w:drawing>
        <wp:anchor distT="0" distB="0" distL="114300" distR="114300" simplePos="0" relativeHeight="251663360" behindDoc="0" locked="0" layoutInCell="1" allowOverlap="0" wp14:anchorId="2C7822A0" wp14:editId="17D52A4C">
          <wp:simplePos x="0" y="0"/>
          <wp:positionH relativeFrom="page">
            <wp:posOffset>10161</wp:posOffset>
          </wp:positionH>
          <wp:positionV relativeFrom="page">
            <wp:posOffset>9820287</wp:posOffset>
          </wp:positionV>
          <wp:extent cx="7537704" cy="67665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072" name="Picture 7072"/>
                  <pic:cNvPicPr/>
                </pic:nvPicPr>
                <pic:blipFill>
                  <a:blip r:embed="rId1"/>
                  <a:stretch>
                    <a:fillRect/>
                  </a:stretch>
                </pic:blipFill>
                <pic:spPr>
                  <a:xfrm>
                    <a:off x="0" y="0"/>
                    <a:ext cx="7537704" cy="676656"/>
                  </a:xfrm>
                  <a:prstGeom prst="rect">
                    <a:avLst/>
                  </a:prstGeom>
                </pic:spPr>
              </pic:pic>
            </a:graphicData>
          </a:graphic>
        </wp:anchor>
      </w:drawing>
    </w: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03447" w14:textId="77777777" w:rsidR="00623586" w:rsidRDefault="00623586">
      <w:pPr>
        <w:spacing w:after="0" w:line="241" w:lineRule="auto"/>
        <w:ind w:left="720" w:right="5" w:hanging="720"/>
      </w:pPr>
      <w:r>
        <w:separator/>
      </w:r>
    </w:p>
  </w:footnote>
  <w:footnote w:type="continuationSeparator" w:id="0">
    <w:p w14:paraId="7F37120B" w14:textId="77777777" w:rsidR="00623586" w:rsidRDefault="00623586">
      <w:pPr>
        <w:spacing w:after="0" w:line="241" w:lineRule="auto"/>
        <w:ind w:left="720" w:right="5"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AE45" w14:textId="77777777" w:rsidR="00B8706D" w:rsidRDefault="00623586">
    <w:pPr>
      <w:spacing w:after="0" w:line="259" w:lineRule="auto"/>
      <w:ind w:left="-704" w:firstLine="0"/>
      <w:jc w:val="left"/>
    </w:pPr>
    <w:r>
      <w:rPr>
        <w:noProof/>
      </w:rPr>
      <w:drawing>
        <wp:anchor distT="0" distB="0" distL="114300" distR="114300" simplePos="0" relativeHeight="251658240" behindDoc="0" locked="0" layoutInCell="1" allowOverlap="0" wp14:anchorId="31DAECD0" wp14:editId="36BBADD9">
          <wp:simplePos x="0" y="0"/>
          <wp:positionH relativeFrom="page">
            <wp:posOffset>10161</wp:posOffset>
          </wp:positionH>
          <wp:positionV relativeFrom="page">
            <wp:posOffset>0</wp:posOffset>
          </wp:positionV>
          <wp:extent cx="1544955" cy="1535811"/>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544955" cy="1535811"/>
                  </a:xfrm>
                  <a:prstGeom prst="rect">
                    <a:avLst/>
                  </a:prstGeom>
                </pic:spPr>
              </pic:pic>
            </a:graphicData>
          </a:graphic>
        </wp:anchor>
      </w:drawing>
    </w:r>
    <w:r>
      <w:rPr>
        <w:rFonts w:ascii="Calibri" w:eastAsia="Calibri" w:hAnsi="Calibri" w:cs="Calibri"/>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6BF8" w14:textId="77777777" w:rsidR="00B8706D" w:rsidRDefault="00623586">
    <w:pPr>
      <w:spacing w:after="0" w:line="259" w:lineRule="auto"/>
      <w:ind w:left="-704" w:firstLine="0"/>
      <w:jc w:val="left"/>
    </w:pPr>
    <w:r>
      <w:rPr>
        <w:noProof/>
      </w:rPr>
      <w:drawing>
        <wp:anchor distT="0" distB="0" distL="114300" distR="114300" simplePos="0" relativeHeight="251659264" behindDoc="0" locked="0" layoutInCell="1" allowOverlap="0" wp14:anchorId="59091FD8" wp14:editId="4E177C48">
          <wp:simplePos x="0" y="0"/>
          <wp:positionH relativeFrom="page">
            <wp:posOffset>10161</wp:posOffset>
          </wp:positionH>
          <wp:positionV relativeFrom="page">
            <wp:posOffset>0</wp:posOffset>
          </wp:positionV>
          <wp:extent cx="1544955" cy="153581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544955" cy="1535811"/>
                  </a:xfrm>
                  <a:prstGeom prst="rect">
                    <a:avLst/>
                  </a:prstGeom>
                </pic:spPr>
              </pic:pic>
            </a:graphicData>
          </a:graphic>
        </wp:anchor>
      </w:drawing>
    </w:r>
    <w:r>
      <w:rPr>
        <w:rFonts w:ascii="Calibri" w:eastAsia="Calibri" w:hAnsi="Calibri" w:cs="Calibri"/>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5547" w14:textId="77777777" w:rsidR="00B8706D" w:rsidRDefault="00623586">
    <w:pPr>
      <w:spacing w:after="0" w:line="259" w:lineRule="auto"/>
      <w:ind w:left="-704" w:firstLine="0"/>
      <w:jc w:val="left"/>
    </w:pPr>
    <w:r>
      <w:rPr>
        <w:noProof/>
      </w:rPr>
      <w:drawing>
        <wp:anchor distT="0" distB="0" distL="114300" distR="114300" simplePos="0" relativeHeight="251660288" behindDoc="0" locked="0" layoutInCell="1" allowOverlap="0" wp14:anchorId="50175AB5" wp14:editId="2AFFA560">
          <wp:simplePos x="0" y="0"/>
          <wp:positionH relativeFrom="page">
            <wp:posOffset>10161</wp:posOffset>
          </wp:positionH>
          <wp:positionV relativeFrom="page">
            <wp:posOffset>0</wp:posOffset>
          </wp:positionV>
          <wp:extent cx="1544955" cy="153581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1544955" cy="1535811"/>
                  </a:xfrm>
                  <a:prstGeom prst="rect">
                    <a:avLst/>
                  </a:prstGeom>
                </pic:spPr>
              </pic:pic>
            </a:graphicData>
          </a:graphic>
        </wp:anchor>
      </w:drawing>
    </w:r>
    <w:r>
      <w:rPr>
        <w:rFonts w:ascii="Calibri" w:eastAsia="Calibri" w:hAnsi="Calibri" w:cs="Calibri"/>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1F53"/>
    <w:multiLevelType w:val="hybridMultilevel"/>
    <w:tmpl w:val="FA7063B4"/>
    <w:lvl w:ilvl="0" w:tplc="76562A2A">
      <w:start w:val="12"/>
      <w:numFmt w:val="decimal"/>
      <w:lvlText w:val="%1."/>
      <w:lvlJc w:val="left"/>
      <w:pPr>
        <w:ind w:left="7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DA2C7CC0">
      <w:start w:val="1"/>
      <w:numFmt w:val="lowerLetter"/>
      <w:lvlText w:val="%2"/>
      <w:lvlJc w:val="left"/>
      <w:pPr>
        <w:ind w:left="195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603C50AE">
      <w:start w:val="1"/>
      <w:numFmt w:val="lowerRoman"/>
      <w:lvlText w:val="%3"/>
      <w:lvlJc w:val="left"/>
      <w:pPr>
        <w:ind w:left="267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AAAACB2A">
      <w:start w:val="1"/>
      <w:numFmt w:val="decimal"/>
      <w:lvlText w:val="%4"/>
      <w:lvlJc w:val="left"/>
      <w:pPr>
        <w:ind w:left="339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B8622BD0">
      <w:start w:val="1"/>
      <w:numFmt w:val="lowerLetter"/>
      <w:lvlText w:val="%5"/>
      <w:lvlJc w:val="left"/>
      <w:pPr>
        <w:ind w:left="411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5A68A762">
      <w:start w:val="1"/>
      <w:numFmt w:val="lowerRoman"/>
      <w:lvlText w:val="%6"/>
      <w:lvlJc w:val="left"/>
      <w:pPr>
        <w:ind w:left="483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FDB6DC02">
      <w:start w:val="1"/>
      <w:numFmt w:val="decimal"/>
      <w:lvlText w:val="%7"/>
      <w:lvlJc w:val="left"/>
      <w:pPr>
        <w:ind w:left="555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C55AB96A">
      <w:start w:val="1"/>
      <w:numFmt w:val="lowerLetter"/>
      <w:lvlText w:val="%8"/>
      <w:lvlJc w:val="left"/>
      <w:pPr>
        <w:ind w:left="627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9FA038E8">
      <w:start w:val="1"/>
      <w:numFmt w:val="lowerRoman"/>
      <w:lvlText w:val="%9"/>
      <w:lvlJc w:val="left"/>
      <w:pPr>
        <w:ind w:left="699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7175CA6"/>
    <w:multiLevelType w:val="hybridMultilevel"/>
    <w:tmpl w:val="0CF8035E"/>
    <w:lvl w:ilvl="0" w:tplc="976C8338">
      <w:start w:val="2"/>
      <w:numFmt w:val="decimal"/>
      <w:lvlText w:val="%1."/>
      <w:lvlJc w:val="left"/>
      <w:pPr>
        <w:ind w:left="7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6DC81C1A">
      <w:start w:val="1"/>
      <w:numFmt w:val="lowerLetter"/>
      <w:lvlText w:val="%2"/>
      <w:lvlJc w:val="left"/>
      <w:pPr>
        <w:ind w:left="14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9C363252">
      <w:start w:val="1"/>
      <w:numFmt w:val="lowerRoman"/>
      <w:lvlText w:val="%3"/>
      <w:lvlJc w:val="left"/>
      <w:pPr>
        <w:ind w:left="21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E1C25D6A">
      <w:start w:val="1"/>
      <w:numFmt w:val="decimal"/>
      <w:lvlText w:val="%4"/>
      <w:lvlJc w:val="left"/>
      <w:pPr>
        <w:ind w:left="28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1E8E76FA">
      <w:start w:val="1"/>
      <w:numFmt w:val="lowerLetter"/>
      <w:lvlText w:val="%5"/>
      <w:lvlJc w:val="left"/>
      <w:pPr>
        <w:ind w:left="36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E62A6BA2">
      <w:start w:val="1"/>
      <w:numFmt w:val="lowerRoman"/>
      <w:lvlText w:val="%6"/>
      <w:lvlJc w:val="left"/>
      <w:pPr>
        <w:ind w:left="43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A00ECD2C">
      <w:start w:val="1"/>
      <w:numFmt w:val="decimal"/>
      <w:lvlText w:val="%7"/>
      <w:lvlJc w:val="left"/>
      <w:pPr>
        <w:ind w:left="50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939AEDDE">
      <w:start w:val="1"/>
      <w:numFmt w:val="lowerLetter"/>
      <w:lvlText w:val="%8"/>
      <w:lvlJc w:val="left"/>
      <w:pPr>
        <w:ind w:left="57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0E3A18B8">
      <w:start w:val="1"/>
      <w:numFmt w:val="lowerRoman"/>
      <w:lvlText w:val="%9"/>
      <w:lvlJc w:val="left"/>
      <w:pPr>
        <w:ind w:left="64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832761"/>
    <w:multiLevelType w:val="hybridMultilevel"/>
    <w:tmpl w:val="1CF0873E"/>
    <w:lvl w:ilvl="0" w:tplc="78D03B94">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3" w15:restartNumberingAfterBreak="0">
    <w:nsid w:val="56205248"/>
    <w:multiLevelType w:val="hybridMultilevel"/>
    <w:tmpl w:val="9CB2C5BA"/>
    <w:lvl w:ilvl="0" w:tplc="E92A724E">
      <w:start w:val="15"/>
      <w:numFmt w:val="decimal"/>
      <w:lvlText w:val="%1."/>
      <w:lvlJc w:val="left"/>
      <w:pPr>
        <w:ind w:left="7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905C8AF4">
      <w:start w:val="1"/>
      <w:numFmt w:val="lowerLetter"/>
      <w:lvlText w:val="%2"/>
      <w:lvlJc w:val="left"/>
      <w:pPr>
        <w:ind w:left="182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1D14047E">
      <w:start w:val="1"/>
      <w:numFmt w:val="lowerRoman"/>
      <w:lvlText w:val="%3"/>
      <w:lvlJc w:val="left"/>
      <w:pPr>
        <w:ind w:left="254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CC848D1A">
      <w:start w:val="1"/>
      <w:numFmt w:val="decimal"/>
      <w:lvlText w:val="%4"/>
      <w:lvlJc w:val="left"/>
      <w:pPr>
        <w:ind w:left="326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ABF69A5A">
      <w:start w:val="1"/>
      <w:numFmt w:val="lowerLetter"/>
      <w:lvlText w:val="%5"/>
      <w:lvlJc w:val="left"/>
      <w:pPr>
        <w:ind w:left="398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170CA8DE">
      <w:start w:val="1"/>
      <w:numFmt w:val="lowerRoman"/>
      <w:lvlText w:val="%6"/>
      <w:lvlJc w:val="left"/>
      <w:pPr>
        <w:ind w:left="470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D60E8E38">
      <w:start w:val="1"/>
      <w:numFmt w:val="decimal"/>
      <w:lvlText w:val="%7"/>
      <w:lvlJc w:val="left"/>
      <w:pPr>
        <w:ind w:left="542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93F46DE0">
      <w:start w:val="1"/>
      <w:numFmt w:val="lowerLetter"/>
      <w:lvlText w:val="%8"/>
      <w:lvlJc w:val="left"/>
      <w:pPr>
        <w:ind w:left="614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93B4DAC2">
      <w:start w:val="1"/>
      <w:numFmt w:val="lowerRoman"/>
      <w:lvlText w:val="%9"/>
      <w:lvlJc w:val="left"/>
      <w:pPr>
        <w:ind w:left="6869"/>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951069A"/>
    <w:multiLevelType w:val="hybridMultilevel"/>
    <w:tmpl w:val="EBE41396"/>
    <w:lvl w:ilvl="0" w:tplc="A4EEB62C">
      <w:start w:val="4"/>
      <w:numFmt w:val="decimal"/>
      <w:lvlText w:val="%1."/>
      <w:lvlJc w:val="left"/>
      <w:pPr>
        <w:ind w:left="705"/>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2E48F6B2">
      <w:start w:val="1"/>
      <w:numFmt w:val="lowerLetter"/>
      <w:lvlText w:val="%2"/>
      <w:lvlJc w:val="left"/>
      <w:pPr>
        <w:ind w:left="188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B80C3DD2">
      <w:start w:val="1"/>
      <w:numFmt w:val="lowerRoman"/>
      <w:lvlText w:val="%3"/>
      <w:lvlJc w:val="left"/>
      <w:pPr>
        <w:ind w:left="260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F4A6405E">
      <w:start w:val="1"/>
      <w:numFmt w:val="decimal"/>
      <w:lvlText w:val="%4"/>
      <w:lvlJc w:val="left"/>
      <w:pPr>
        <w:ind w:left="332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A8C63CDE">
      <w:start w:val="1"/>
      <w:numFmt w:val="lowerLetter"/>
      <w:lvlText w:val="%5"/>
      <w:lvlJc w:val="left"/>
      <w:pPr>
        <w:ind w:left="404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64B4D6C6">
      <w:start w:val="1"/>
      <w:numFmt w:val="lowerRoman"/>
      <w:lvlText w:val="%6"/>
      <w:lvlJc w:val="left"/>
      <w:pPr>
        <w:ind w:left="476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01B62098">
      <w:start w:val="1"/>
      <w:numFmt w:val="decimal"/>
      <w:lvlText w:val="%7"/>
      <w:lvlJc w:val="left"/>
      <w:pPr>
        <w:ind w:left="548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CE448EC6">
      <w:start w:val="1"/>
      <w:numFmt w:val="lowerLetter"/>
      <w:lvlText w:val="%8"/>
      <w:lvlJc w:val="left"/>
      <w:pPr>
        <w:ind w:left="620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DDEA0278">
      <w:start w:val="1"/>
      <w:numFmt w:val="lowerRoman"/>
      <w:lvlText w:val="%9"/>
      <w:lvlJc w:val="left"/>
      <w:pPr>
        <w:ind w:left="6924"/>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6B864E67"/>
    <w:multiLevelType w:val="hybridMultilevel"/>
    <w:tmpl w:val="1CF0873E"/>
    <w:lvl w:ilvl="0" w:tplc="78D03B94">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06D"/>
    <w:rsid w:val="000214EB"/>
    <w:rsid w:val="00053F7E"/>
    <w:rsid w:val="001618B8"/>
    <w:rsid w:val="002633C1"/>
    <w:rsid w:val="002C3296"/>
    <w:rsid w:val="0031472E"/>
    <w:rsid w:val="00623586"/>
    <w:rsid w:val="00763271"/>
    <w:rsid w:val="00776696"/>
    <w:rsid w:val="007B390F"/>
    <w:rsid w:val="008C388B"/>
    <w:rsid w:val="0095420F"/>
    <w:rsid w:val="00A0043C"/>
    <w:rsid w:val="00B8706D"/>
    <w:rsid w:val="00F50A68"/>
    <w:rsid w:val="00F8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F302DF"/>
  <w15:docId w15:val="{F5FC4B21-96ED-3F48-82AC-7083E703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66" w:lineRule="auto"/>
      <w:ind w:left="370" w:hanging="370"/>
      <w:jc w:val="both"/>
    </w:pPr>
    <w:rPr>
      <w:rFonts w:ascii="Book Antiqua" w:eastAsia="Book Antiqua" w:hAnsi="Book Antiqua" w:cs="Book Antiqua"/>
      <w:color w:val="000000"/>
      <w:sz w:val="21"/>
      <w:lang w:bidi="en-GB"/>
    </w:rPr>
  </w:style>
  <w:style w:type="paragraph" w:styleId="Heading1">
    <w:name w:val="heading 1"/>
    <w:next w:val="Normal"/>
    <w:link w:val="Heading1Char"/>
    <w:uiPriority w:val="9"/>
    <w:qFormat/>
    <w:pPr>
      <w:keepNext/>
      <w:keepLines/>
      <w:spacing w:after="8" w:line="259" w:lineRule="auto"/>
      <w:ind w:left="10" w:right="5" w:hanging="10"/>
      <w:outlineLvl w:val="0"/>
    </w:pPr>
    <w:rPr>
      <w:rFonts w:ascii="Book Antiqua" w:eastAsia="Book Antiqua" w:hAnsi="Book Antiqua" w:cs="Book Antiqu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1"/>
    </w:rPr>
  </w:style>
  <w:style w:type="paragraph" w:customStyle="1" w:styleId="footnotedescription">
    <w:name w:val="footnote description"/>
    <w:next w:val="Normal"/>
    <w:link w:val="footnotedescriptionChar"/>
    <w:hidden/>
    <w:pPr>
      <w:spacing w:line="243" w:lineRule="auto"/>
    </w:pPr>
    <w:rPr>
      <w:rFonts w:ascii="Book Antiqua" w:eastAsia="Book Antiqua" w:hAnsi="Book Antiqua" w:cs="Book Antiqua"/>
      <w:color w:val="000000"/>
      <w:sz w:val="18"/>
    </w:rPr>
  </w:style>
  <w:style w:type="character" w:customStyle="1" w:styleId="footnotedescriptionChar">
    <w:name w:val="footnote description Char"/>
    <w:link w:val="footnotedescription"/>
    <w:rPr>
      <w:rFonts w:ascii="Book Antiqua" w:eastAsia="Book Antiqua" w:hAnsi="Book Antiqua" w:cs="Book Antiqua"/>
      <w:color w:val="000000"/>
      <w:sz w:val="18"/>
    </w:rPr>
  </w:style>
  <w:style w:type="character" w:customStyle="1" w:styleId="footnotemark">
    <w:name w:val="footnote mark"/>
    <w:hidden/>
    <w:rPr>
      <w:rFonts w:ascii="Book Antiqua" w:eastAsia="Book Antiqua" w:hAnsi="Book Antiqua" w:cs="Book Antiqua"/>
      <w:color w:val="000000"/>
      <w:sz w:val="18"/>
      <w:vertAlign w:val="superscript"/>
    </w:rPr>
  </w:style>
  <w:style w:type="paragraph" w:styleId="ListParagraph">
    <w:name w:val="List Paragraph"/>
    <w:basedOn w:val="Normal"/>
    <w:uiPriority w:val="34"/>
    <w:qFormat/>
    <w:rsid w:val="002C3296"/>
    <w:pPr>
      <w:ind w:left="720"/>
      <w:contextualSpacing/>
    </w:pPr>
  </w:style>
  <w:style w:type="character" w:styleId="Hyperlink">
    <w:name w:val="Hyperlink"/>
    <w:basedOn w:val="DefaultParagraphFont"/>
    <w:uiPriority w:val="99"/>
    <w:unhideWhenUsed/>
    <w:rsid w:val="00F50A68"/>
    <w:rPr>
      <w:color w:val="0563C1" w:themeColor="hyperlink"/>
      <w:u w:val="single"/>
    </w:rPr>
  </w:style>
  <w:style w:type="character" w:styleId="UnresolvedMention">
    <w:name w:val="Unresolved Mention"/>
    <w:basedOn w:val="DefaultParagraphFont"/>
    <w:uiPriority w:val="99"/>
    <w:semiHidden/>
    <w:unhideWhenUsed/>
    <w:rsid w:val="00F50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ramsden@rightsandsecurity.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Abdelgadir, Islam</dc:creator>
  <cp:keywords/>
  <cp:lastModifiedBy>Jacob Smith</cp:lastModifiedBy>
  <cp:revision>2</cp:revision>
  <dcterms:created xsi:type="dcterms:W3CDTF">2021-03-02T11:42:00Z</dcterms:created>
  <dcterms:modified xsi:type="dcterms:W3CDTF">2021-03-02T11:42:00Z</dcterms:modified>
</cp:coreProperties>
</file>